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C8B2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4B350B">
        <w:rPr>
          <w:b/>
        </w:rPr>
        <w:t xml:space="preserve">0-3 GIPS GLETT, extra fehér nagyszilárdságú </w:t>
      </w:r>
      <w:proofErr w:type="spellStart"/>
      <w:r w:rsidR="004B350B">
        <w:rPr>
          <w:b/>
        </w:rPr>
        <w:t>glettanyag</w:t>
      </w:r>
      <w:proofErr w:type="spellEnd"/>
    </w:p>
    <w:p w14:paraId="430A4EDF" w14:textId="77777777" w:rsidR="00F14590" w:rsidRDefault="005862CF" w:rsidP="004B350B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4B350B" w:rsidRPr="004B350B">
        <w:rPr>
          <w:bCs/>
          <w:sz w:val="20"/>
          <w:szCs w:val="20"/>
        </w:rPr>
        <w:t>Gyárilag előkevert extra finomságú és fehérségű beltéri nagyszilárdságú glettelő gipsz 0–3 mm vastagságig.</w:t>
      </w:r>
      <w:r w:rsidR="004B350B">
        <w:rPr>
          <w:bCs/>
          <w:sz w:val="20"/>
          <w:szCs w:val="20"/>
        </w:rPr>
        <w:t xml:space="preserve"> </w:t>
      </w:r>
      <w:r w:rsidR="004B350B" w:rsidRPr="004B350B">
        <w:rPr>
          <w:bCs/>
          <w:sz w:val="20"/>
          <w:szCs w:val="20"/>
        </w:rPr>
        <w:t>Kötés- és tapadásjavító adalékokat tartalmaz, melynek következtében repedés- és zsugorodásmentes felületet</w:t>
      </w:r>
      <w:r w:rsidR="004B350B">
        <w:rPr>
          <w:bCs/>
          <w:sz w:val="20"/>
          <w:szCs w:val="20"/>
        </w:rPr>
        <w:t xml:space="preserve"> </w:t>
      </w:r>
      <w:r w:rsidR="004B350B" w:rsidRPr="004B350B">
        <w:rPr>
          <w:bCs/>
          <w:sz w:val="20"/>
          <w:szCs w:val="20"/>
        </w:rPr>
        <w:t>ad. Festhető és tapétázható, kizárólag beltéri felhasználásra.</w:t>
      </w:r>
    </w:p>
    <w:p w14:paraId="7D80A4BD" w14:textId="77777777" w:rsidR="00BE60CC" w:rsidRDefault="005862CF" w:rsidP="000C1A61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0C1A61" w:rsidRPr="000C1A61">
        <w:rPr>
          <w:bCs/>
          <w:sz w:val="20"/>
          <w:szCs w:val="20"/>
        </w:rPr>
        <w:t>Gipszkarton lapok, simított alapvakolatok, beton falak és mennyezetek gletteléséhez. Belső térben, alacsony</w:t>
      </w:r>
      <w:r w:rsidR="000C1A61">
        <w:rPr>
          <w:bCs/>
          <w:sz w:val="20"/>
          <w:szCs w:val="20"/>
        </w:rPr>
        <w:t xml:space="preserve"> </w:t>
      </w:r>
      <w:r w:rsidR="000C1A61" w:rsidRPr="000C1A61">
        <w:rPr>
          <w:bCs/>
          <w:sz w:val="20"/>
          <w:szCs w:val="20"/>
        </w:rPr>
        <w:t>páratartalmú helyiségekben.</w:t>
      </w:r>
    </w:p>
    <w:p w14:paraId="4B3CDDCC" w14:textId="77777777" w:rsidR="00F14590" w:rsidRDefault="00017660" w:rsidP="000C1A61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0C1A61" w:rsidRPr="000C1A61">
        <w:rPr>
          <w:sz w:val="20"/>
          <w:szCs w:val="20"/>
        </w:rPr>
        <w:t>Az alapfelület szilárd, por- és szennyeződésmentes, valamint teljes rétegvastagságában száraz legyen. A laza</w:t>
      </w:r>
      <w:r w:rsidR="000C1A61">
        <w:rPr>
          <w:sz w:val="20"/>
          <w:szCs w:val="20"/>
        </w:rPr>
        <w:t xml:space="preserve"> </w:t>
      </w:r>
      <w:r w:rsidR="000C1A61" w:rsidRPr="000C1A61">
        <w:rPr>
          <w:sz w:val="20"/>
          <w:szCs w:val="20"/>
        </w:rPr>
        <w:t>részeket, festékrétegeket, olaj, zsír és egyéb szennyeződéseket távolítsuk el a felületről, a repedéseket szélesítsük</w:t>
      </w:r>
      <w:r w:rsidR="000C1A61">
        <w:rPr>
          <w:sz w:val="20"/>
          <w:szCs w:val="20"/>
        </w:rPr>
        <w:t xml:space="preserve"> </w:t>
      </w:r>
      <w:r w:rsidR="000C1A61" w:rsidRPr="000C1A61">
        <w:rPr>
          <w:sz w:val="20"/>
          <w:szCs w:val="20"/>
        </w:rPr>
        <w:t xml:space="preserve">ki ék alakúra. Amennyiben a szerkezet tartós nedvességterhelésnek van kitéve, a </w:t>
      </w:r>
      <w:proofErr w:type="spellStart"/>
      <w:r w:rsidR="000C1A61" w:rsidRPr="000C1A61">
        <w:rPr>
          <w:sz w:val="20"/>
          <w:szCs w:val="20"/>
        </w:rPr>
        <w:t>glett</w:t>
      </w:r>
      <w:proofErr w:type="spellEnd"/>
      <w:r w:rsidR="000C1A61" w:rsidRPr="000C1A61">
        <w:rPr>
          <w:sz w:val="20"/>
          <w:szCs w:val="20"/>
        </w:rPr>
        <w:t xml:space="preserve"> nem alkalmazható.</w:t>
      </w:r>
    </w:p>
    <w:p w14:paraId="7915ADC1" w14:textId="35927855" w:rsidR="004E1CD7" w:rsidRPr="004E1CD7" w:rsidRDefault="004E1CD7" w:rsidP="004E1CD7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r w:rsidRPr="004E1CD7">
        <w:rPr>
          <w:bCs/>
          <w:sz w:val="20"/>
          <w:szCs w:val="20"/>
        </w:rPr>
        <w:t>Amennyiben a felület nagy nedvszívású (pl. kőporos régi vakolat, pórusbeton), a glettelés megkezdése előtt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>szükséges a GROUND univerzális mélyalapozó használata a megfelelő tapadás elősegítésére. A GROUND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 xml:space="preserve">univerzális mélyalapozóról részletes információt talál a </w:t>
      </w:r>
      <w:hyperlink r:id="rId6" w:history="1">
        <w:r w:rsidR="00727E8A" w:rsidRPr="00A92CE6">
          <w:rPr>
            <w:rStyle w:val="Hiperhivatkozs"/>
            <w:bCs/>
            <w:sz w:val="20"/>
            <w:szCs w:val="20"/>
          </w:rPr>
          <w:t>www.meton.hu</w:t>
        </w:r>
      </w:hyperlink>
      <w:r w:rsidR="00C41BC4">
        <w:rPr>
          <w:bCs/>
          <w:sz w:val="20"/>
          <w:szCs w:val="20"/>
        </w:rPr>
        <w:t xml:space="preserve"> weboldalon</w:t>
      </w:r>
      <w:r w:rsidRPr="004E1CD7">
        <w:rPr>
          <w:bCs/>
          <w:sz w:val="20"/>
          <w:szCs w:val="20"/>
        </w:rPr>
        <w:t>.</w:t>
      </w:r>
    </w:p>
    <w:p w14:paraId="4FB7AC5D" w14:textId="77777777" w:rsidR="00525ED4" w:rsidRPr="00525ED4" w:rsidRDefault="00525ED4" w:rsidP="000C1A61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0C1A61" w:rsidRPr="000C1A61">
        <w:rPr>
          <w:bCs/>
          <w:sz w:val="20"/>
          <w:szCs w:val="20"/>
        </w:rPr>
        <w:t>A 0–3 GIPS GLETT-</w:t>
      </w:r>
      <w:proofErr w:type="spellStart"/>
      <w:r w:rsidR="000C1A61" w:rsidRPr="000C1A61">
        <w:rPr>
          <w:bCs/>
          <w:sz w:val="20"/>
          <w:szCs w:val="20"/>
        </w:rPr>
        <w:t>et</w:t>
      </w:r>
      <w:proofErr w:type="spellEnd"/>
      <w:r w:rsidR="000C1A61" w:rsidRPr="000C1A61">
        <w:rPr>
          <w:bCs/>
          <w:sz w:val="20"/>
          <w:szCs w:val="20"/>
        </w:rPr>
        <w:t xml:space="preserve"> öntsük a szükséges vízmennyiséghez, keverjük alacsony fordulatszámon csomómentesre</w:t>
      </w:r>
      <w:r w:rsidR="000C1A61">
        <w:rPr>
          <w:bCs/>
          <w:sz w:val="20"/>
          <w:szCs w:val="20"/>
        </w:rPr>
        <w:t xml:space="preserve"> </w:t>
      </w:r>
      <w:r w:rsidR="000C1A61" w:rsidRPr="000C1A61">
        <w:rPr>
          <w:bCs/>
          <w:sz w:val="20"/>
          <w:szCs w:val="20"/>
        </w:rPr>
        <w:t>keverőgépbe fogott fúrószárral. Hagyjuk állni az anyagot 3–5 percig, majd még egyszer keverjük át. 0–3 mm</w:t>
      </w:r>
      <w:r w:rsidR="000C1A61">
        <w:rPr>
          <w:bCs/>
          <w:sz w:val="20"/>
          <w:szCs w:val="20"/>
        </w:rPr>
        <w:t xml:space="preserve"> </w:t>
      </w:r>
      <w:r w:rsidR="000C1A61" w:rsidRPr="000C1A61">
        <w:rPr>
          <w:bCs/>
          <w:sz w:val="20"/>
          <w:szCs w:val="20"/>
        </w:rPr>
        <w:t>rétegvastagságba húzzuk fel egy rétegben, rozsdamentes glettvassal. Az első réteg teljes megszilárdulása után</w:t>
      </w:r>
      <w:r w:rsidR="000C1A61">
        <w:rPr>
          <w:bCs/>
          <w:sz w:val="20"/>
          <w:szCs w:val="20"/>
        </w:rPr>
        <w:t xml:space="preserve"> </w:t>
      </w:r>
      <w:r w:rsidR="000C1A61" w:rsidRPr="000C1A61">
        <w:rPr>
          <w:bCs/>
          <w:sz w:val="20"/>
          <w:szCs w:val="20"/>
        </w:rPr>
        <w:t>(8 óra) vihetjük fel a következő réteget. A bekevert anyagot javasolt kb. 60 perc alatt felhasználni.</w:t>
      </w:r>
    </w:p>
    <w:p w14:paraId="545C5150" w14:textId="77777777" w:rsidR="00C41BC4" w:rsidRPr="00C41BC4" w:rsidRDefault="00F2118D" w:rsidP="00C41BC4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C41BC4" w:rsidRPr="00C41BC4">
        <w:rPr>
          <w:bCs/>
          <w:sz w:val="20"/>
          <w:szCs w:val="20"/>
        </w:rPr>
        <w:t>Felhordása és száradási ideje alatt a felületi és léghőmérséklet +5 - +25 °C között legyen</w:t>
      </w:r>
      <w:r w:rsidR="00C41BC4">
        <w:rPr>
          <w:bCs/>
          <w:sz w:val="20"/>
          <w:szCs w:val="20"/>
        </w:rPr>
        <w:t>.</w:t>
      </w:r>
      <w:r w:rsidR="00C41BC4" w:rsidRPr="00C41BC4">
        <w:rPr>
          <w:bCs/>
          <w:sz w:val="20"/>
          <w:szCs w:val="20"/>
        </w:rPr>
        <w:t xml:space="preserve"> A </w:t>
      </w:r>
      <w:proofErr w:type="spellStart"/>
      <w:r w:rsidR="00C41BC4" w:rsidRPr="00C41BC4">
        <w:rPr>
          <w:bCs/>
          <w:sz w:val="20"/>
          <w:szCs w:val="20"/>
        </w:rPr>
        <w:t>glett</w:t>
      </w:r>
      <w:proofErr w:type="spellEnd"/>
      <w:r w:rsidR="00C41BC4" w:rsidRPr="00C41BC4">
        <w:rPr>
          <w:bCs/>
          <w:sz w:val="20"/>
          <w:szCs w:val="20"/>
        </w:rPr>
        <w:t xml:space="preserve"> száradásáig a felületet nem érheti fagy és erős huzathatás. Termékeinkhez a feltüntetett víz mennyiségén kívül más anyagot hozzáadni nem szabad. A rétegvastagság, hőmérséklet és a páratartalom befolyásolja a száradási időt. Magas páratartalom és alacsony hőmérséklet késlelteti, magas hőmérséklet gyorsítja a kötést és a szilárdulást. Fal és mennyezetfűtés esetén a fűtésrendszert a </w:t>
      </w:r>
      <w:proofErr w:type="spellStart"/>
      <w:r w:rsidR="00C41BC4" w:rsidRPr="00C41BC4">
        <w:rPr>
          <w:bCs/>
          <w:sz w:val="20"/>
          <w:szCs w:val="20"/>
        </w:rPr>
        <w:t>glett</w:t>
      </w:r>
      <w:proofErr w:type="spellEnd"/>
      <w:r w:rsidR="00C41BC4" w:rsidRPr="00C41BC4">
        <w:rPr>
          <w:bCs/>
          <w:sz w:val="20"/>
          <w:szCs w:val="20"/>
        </w:rPr>
        <w:t xml:space="preserve"> teljes szilárdulásáig TILOS üzemeltetni.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garanciát! Feltétlenül tartsák be az idevonatkozó szakmai előírásokat! A kivitelezésből, illetve annak körülményeiből (felület, szerszám, </w:t>
      </w:r>
      <w:r w:rsidR="00BA713D" w:rsidRPr="00C41BC4">
        <w:rPr>
          <w:bCs/>
          <w:sz w:val="20"/>
          <w:szCs w:val="20"/>
        </w:rPr>
        <w:t>időjárás</w:t>
      </w:r>
      <w:r w:rsidR="00C41BC4" w:rsidRPr="00C41BC4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74A8489E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76F6DE70" w14:textId="77777777" w:rsidR="007F728A" w:rsidRDefault="004D7353" w:rsidP="0013660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57461D" w:rsidRPr="0057461D">
        <w:rPr>
          <w:bCs/>
          <w:sz w:val="20"/>
          <w:szCs w:val="20"/>
        </w:rPr>
        <w:t>ÉMI TÜV SÜD Kft. által kiadott 2008/2–00127.</w:t>
      </w:r>
    </w:p>
    <w:p w14:paraId="77C0776E" w14:textId="77777777" w:rsidR="0057461D" w:rsidRDefault="0057461D" w:rsidP="0013660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57461D">
        <w:rPr>
          <w:bCs/>
          <w:sz w:val="20"/>
          <w:szCs w:val="20"/>
        </w:rPr>
        <w:t xml:space="preserve">MSZ EN </w:t>
      </w:r>
      <w:bookmarkStart w:id="0" w:name="_Hlk67900642"/>
      <w:r w:rsidRPr="0057461D">
        <w:rPr>
          <w:bCs/>
          <w:sz w:val="20"/>
          <w:szCs w:val="20"/>
        </w:rPr>
        <w:t>13279–1</w:t>
      </w:r>
      <w:r w:rsidR="0034216C">
        <w:rPr>
          <w:bCs/>
          <w:sz w:val="20"/>
          <w:szCs w:val="20"/>
        </w:rPr>
        <w:t>:2008</w:t>
      </w:r>
      <w:bookmarkEnd w:id="0"/>
      <w:r w:rsidRPr="0057461D">
        <w:rPr>
          <w:bCs/>
          <w:sz w:val="20"/>
          <w:szCs w:val="20"/>
        </w:rPr>
        <w:t>.</w:t>
      </w:r>
    </w:p>
    <w:p w14:paraId="2DB2A3D5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64BF34FF" w14:textId="77777777" w:rsidTr="0087167D">
        <w:tc>
          <w:tcPr>
            <w:tcW w:w="2113" w:type="dxa"/>
          </w:tcPr>
          <w:p w14:paraId="3943F95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FC286ED" w14:textId="77777777" w:rsidR="0087167D" w:rsidRPr="00057A9F" w:rsidRDefault="007E2046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0,4-0,6</w:t>
            </w:r>
            <w:r w:rsidR="00136600">
              <w:rPr>
                <w:bCs/>
                <w:sz w:val="20"/>
                <w:szCs w:val="20"/>
              </w:rPr>
              <w:t xml:space="preserve"> kg/m</w:t>
            </w:r>
            <w:r w:rsidR="00136600">
              <w:rPr>
                <w:bCs/>
                <w:sz w:val="20"/>
                <w:szCs w:val="20"/>
                <w:vertAlign w:val="superscript"/>
              </w:rPr>
              <w:t>2</w:t>
            </w:r>
            <w:r w:rsidR="00136600">
              <w:rPr>
                <w:bCs/>
                <w:sz w:val="20"/>
                <w:szCs w:val="20"/>
              </w:rPr>
              <w:t>/mm/réteg</w:t>
            </w:r>
            <w:r w:rsidR="006C74C6">
              <w:rPr>
                <w:bCs/>
                <w:sz w:val="20"/>
                <w:szCs w:val="20"/>
              </w:rPr>
              <w:t>.</w:t>
            </w:r>
            <w:r w:rsidR="00057A9F"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7B3F40C" w14:textId="77777777" w:rsidTr="0087167D">
        <w:tc>
          <w:tcPr>
            <w:tcW w:w="2113" w:type="dxa"/>
          </w:tcPr>
          <w:p w14:paraId="16610111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272A844" w14:textId="77777777" w:rsidR="00136600" w:rsidRPr="00136600" w:rsidRDefault="00136600" w:rsidP="00136600">
            <w:pPr>
              <w:rPr>
                <w:bCs/>
                <w:sz w:val="20"/>
                <w:szCs w:val="20"/>
              </w:rPr>
            </w:pPr>
            <w:r w:rsidRPr="00136600">
              <w:rPr>
                <w:bCs/>
                <w:sz w:val="20"/>
                <w:szCs w:val="20"/>
              </w:rPr>
              <w:t>10 l csapvíz 1 zsák/2</w:t>
            </w:r>
            <w:r w:rsidR="007E2046">
              <w:rPr>
                <w:bCs/>
                <w:sz w:val="20"/>
                <w:szCs w:val="20"/>
              </w:rPr>
              <w:t>0</w:t>
            </w:r>
            <w:r w:rsidRPr="00136600">
              <w:rPr>
                <w:bCs/>
                <w:sz w:val="20"/>
                <w:szCs w:val="20"/>
              </w:rPr>
              <w:t xml:space="preserve"> kg </w:t>
            </w:r>
            <w:proofErr w:type="spellStart"/>
            <w:r w:rsidRPr="00136600">
              <w:rPr>
                <w:bCs/>
                <w:sz w:val="20"/>
                <w:szCs w:val="20"/>
              </w:rPr>
              <w:t>glettanyaghoz</w:t>
            </w:r>
            <w:proofErr w:type="spellEnd"/>
            <w:r w:rsidRPr="00136600">
              <w:rPr>
                <w:bCs/>
                <w:sz w:val="20"/>
                <w:szCs w:val="20"/>
              </w:rPr>
              <w:t>.</w:t>
            </w:r>
          </w:p>
          <w:p w14:paraId="23AE104C" w14:textId="77777777" w:rsidR="0087167D" w:rsidRPr="001302E6" w:rsidRDefault="00136600" w:rsidP="00136600">
            <w:pPr>
              <w:rPr>
                <w:bCs/>
                <w:sz w:val="20"/>
                <w:szCs w:val="20"/>
              </w:rPr>
            </w:pPr>
            <w:r w:rsidRPr="00136600">
              <w:rPr>
                <w:bCs/>
                <w:sz w:val="20"/>
                <w:szCs w:val="20"/>
              </w:rPr>
              <w:t>2</w:t>
            </w:r>
            <w:r w:rsidR="007E2046">
              <w:rPr>
                <w:bCs/>
                <w:sz w:val="20"/>
                <w:szCs w:val="20"/>
              </w:rPr>
              <w:t>,5</w:t>
            </w:r>
            <w:r w:rsidRPr="00136600">
              <w:rPr>
                <w:bCs/>
                <w:sz w:val="20"/>
                <w:szCs w:val="20"/>
              </w:rPr>
              <w:t xml:space="preserve"> l csapvíz 1 zsák/5 kg </w:t>
            </w:r>
            <w:proofErr w:type="spellStart"/>
            <w:r w:rsidRPr="00136600">
              <w:rPr>
                <w:bCs/>
                <w:sz w:val="20"/>
                <w:szCs w:val="20"/>
              </w:rPr>
              <w:t>glettanyaghoz</w:t>
            </w:r>
            <w:proofErr w:type="spellEnd"/>
            <w:r w:rsidRPr="0013660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2EE2243" w14:textId="77777777" w:rsidTr="0087167D">
        <w:tc>
          <w:tcPr>
            <w:tcW w:w="2113" w:type="dxa"/>
          </w:tcPr>
          <w:p w14:paraId="7DA6524A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0AFCA3B" w14:textId="77777777" w:rsidR="0087167D" w:rsidRPr="00C147CA" w:rsidRDefault="007E204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rozsdamentes </w:t>
            </w:r>
            <w:proofErr w:type="spellStart"/>
            <w:r>
              <w:rPr>
                <w:bCs/>
                <w:sz w:val="20"/>
                <w:szCs w:val="20"/>
              </w:rPr>
              <w:t>glettvas</w:t>
            </w:r>
            <w:proofErr w:type="spellEnd"/>
            <w:r w:rsidR="00BA713D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0795E6A" w14:textId="77777777" w:rsidTr="0087167D">
        <w:tc>
          <w:tcPr>
            <w:tcW w:w="2113" w:type="dxa"/>
          </w:tcPr>
          <w:p w14:paraId="24A51C5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D3BF6D6" w14:textId="77777777" w:rsidR="0087167D" w:rsidRPr="001302E6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kizárólag</w:t>
            </w:r>
            <w:r w:rsidR="00303E5B">
              <w:rPr>
                <w:bCs/>
                <w:sz w:val="20"/>
                <w:szCs w:val="20"/>
              </w:rPr>
              <w:t xml:space="preserve">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EFC95C5" w14:textId="77777777" w:rsidTr="0087167D">
        <w:tc>
          <w:tcPr>
            <w:tcW w:w="2113" w:type="dxa"/>
          </w:tcPr>
          <w:p w14:paraId="3B27C6E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0073157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CD75E1A" w14:textId="77777777" w:rsidTr="0087167D">
        <w:tc>
          <w:tcPr>
            <w:tcW w:w="2113" w:type="dxa"/>
          </w:tcPr>
          <w:p w14:paraId="2B0A852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DA20CF1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136600" w14:paraId="2294C98D" w14:textId="77777777" w:rsidTr="0087167D">
        <w:tc>
          <w:tcPr>
            <w:tcW w:w="2113" w:type="dxa"/>
          </w:tcPr>
          <w:p w14:paraId="4D420282" w14:textId="77777777" w:rsidR="00136600" w:rsidRPr="0087167D" w:rsidRDefault="00136600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Tapadószilárdság:</w:t>
            </w:r>
          </w:p>
        </w:tc>
        <w:tc>
          <w:tcPr>
            <w:tcW w:w="5499" w:type="dxa"/>
          </w:tcPr>
          <w:p w14:paraId="786700C0" w14:textId="77777777" w:rsidR="00136600" w:rsidRDefault="00136600" w:rsidP="004D7353">
            <w:pPr>
              <w:rPr>
                <w:bCs/>
                <w:sz w:val="20"/>
                <w:szCs w:val="20"/>
              </w:rPr>
            </w:pPr>
            <w:r w:rsidRPr="00136600">
              <w:rPr>
                <w:bCs/>
                <w:sz w:val="20"/>
                <w:szCs w:val="20"/>
              </w:rPr>
              <w:t>≥0,7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Pr="00136600">
              <w:rPr>
                <w:bCs/>
                <w:sz w:val="20"/>
                <w:szCs w:val="20"/>
              </w:rPr>
              <w:t>.</w:t>
            </w:r>
          </w:p>
        </w:tc>
      </w:tr>
      <w:tr w:rsidR="00136600" w14:paraId="626D2CFD" w14:textId="77777777" w:rsidTr="0087167D">
        <w:tc>
          <w:tcPr>
            <w:tcW w:w="2113" w:type="dxa"/>
          </w:tcPr>
          <w:p w14:paraId="4104ED2E" w14:textId="77777777" w:rsidR="00136600" w:rsidRPr="0087167D" w:rsidRDefault="00136600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750BD812" w14:textId="77777777" w:rsidR="00136600" w:rsidRDefault="00136600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0-3 mm/réteg</w:t>
            </w:r>
            <w:r w:rsidR="006C74C6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F855148" w14:textId="77777777" w:rsidTr="0087167D">
        <w:tc>
          <w:tcPr>
            <w:tcW w:w="2113" w:type="dxa"/>
          </w:tcPr>
          <w:p w14:paraId="1163C8E5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</w:t>
            </w:r>
            <w:r w:rsidR="00136600">
              <w:rPr>
                <w:b/>
                <w:sz w:val="20"/>
                <w:szCs w:val="20"/>
              </w:rPr>
              <w:t>ási</w:t>
            </w:r>
            <w:r>
              <w:rPr>
                <w:b/>
                <w:sz w:val="20"/>
                <w:szCs w:val="20"/>
              </w:rPr>
              <w:t xml:space="preserve">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C1EAAA5" w14:textId="77777777" w:rsidR="0087167D" w:rsidRPr="00B16E1E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~60 perc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A14214" w14:paraId="4CC71C15" w14:textId="77777777" w:rsidTr="0087167D">
        <w:tc>
          <w:tcPr>
            <w:tcW w:w="2113" w:type="dxa"/>
          </w:tcPr>
          <w:p w14:paraId="388C3317" w14:textId="77777777" w:rsidR="00A14214" w:rsidRDefault="00A1421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Kötés idő kezdete:</w:t>
            </w:r>
          </w:p>
        </w:tc>
        <w:tc>
          <w:tcPr>
            <w:tcW w:w="5499" w:type="dxa"/>
          </w:tcPr>
          <w:p w14:paraId="7590BD9D" w14:textId="77777777" w:rsidR="00A14214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~80 perc</w:t>
            </w:r>
            <w:r w:rsidR="006C74C6">
              <w:rPr>
                <w:bCs/>
                <w:sz w:val="20"/>
                <w:szCs w:val="20"/>
              </w:rPr>
              <w:t>.</w:t>
            </w:r>
          </w:p>
        </w:tc>
      </w:tr>
      <w:tr w:rsidR="006451CA" w14:paraId="77646207" w14:textId="77777777" w:rsidTr="0087167D">
        <w:tc>
          <w:tcPr>
            <w:tcW w:w="2113" w:type="dxa"/>
          </w:tcPr>
          <w:p w14:paraId="0D8D28C6" w14:textId="77777777" w:rsidR="006451CA" w:rsidRDefault="00A14214" w:rsidP="006451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Átvonhatóság</w:t>
            </w:r>
            <w:proofErr w:type="spellEnd"/>
            <w:r w:rsidR="006451C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B61F0EB" w14:textId="77777777" w:rsidR="006451CA" w:rsidRPr="006451CA" w:rsidRDefault="006451CA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A1421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óra múlva, a réteg vastagságtól függően.</w:t>
            </w:r>
          </w:p>
        </w:tc>
      </w:tr>
      <w:tr w:rsidR="006451CA" w14:paraId="5871343A" w14:textId="77777777" w:rsidTr="0087167D">
        <w:tc>
          <w:tcPr>
            <w:tcW w:w="2113" w:type="dxa"/>
          </w:tcPr>
          <w:p w14:paraId="61118DB8" w14:textId="77777777" w:rsidR="006451CA" w:rsidRDefault="00276BF3" w:rsidP="006451C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Csiszolhatóság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976AA53" w14:textId="77777777" w:rsidR="006451CA" w:rsidRDefault="00276BF3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A1421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óra múlva, a réteg vastagságtól függően.</w:t>
            </w:r>
          </w:p>
        </w:tc>
      </w:tr>
      <w:tr w:rsidR="006451CA" w14:paraId="172F2473" w14:textId="77777777" w:rsidTr="0087167D">
        <w:tc>
          <w:tcPr>
            <w:tcW w:w="2113" w:type="dxa"/>
          </w:tcPr>
          <w:p w14:paraId="09ED7B80" w14:textId="77777777" w:rsidR="006451CA" w:rsidRPr="0087167D" w:rsidRDefault="006451CA" w:rsidP="006451CA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6A79C96" w14:textId="77777777" w:rsidR="006451CA" w:rsidRDefault="006451CA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A1.</w:t>
            </w:r>
          </w:p>
        </w:tc>
      </w:tr>
    </w:tbl>
    <w:p w14:paraId="0696104B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</w:t>
      </w:r>
      <w:r w:rsidR="00A14214">
        <w:rPr>
          <w:bCs/>
          <w:sz w:val="20"/>
          <w:szCs w:val="20"/>
        </w:rPr>
        <w:t>0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 xml:space="preserve">, </w:t>
      </w:r>
      <w:r w:rsidR="00276BF3">
        <w:rPr>
          <w:bCs/>
          <w:sz w:val="20"/>
          <w:szCs w:val="20"/>
        </w:rPr>
        <w:t xml:space="preserve">és 5 kg </w:t>
      </w:r>
      <w:r w:rsidR="000745CA">
        <w:rPr>
          <w:bCs/>
          <w:sz w:val="20"/>
          <w:szCs w:val="20"/>
        </w:rPr>
        <w:t>papírzsákban.</w:t>
      </w:r>
    </w:p>
    <w:p w14:paraId="45FBCFC8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lastRenderedPageBreak/>
        <w:t>TÁROLÁS / ELTARTHATÓSÁG</w:t>
      </w:r>
      <w:r>
        <w:rPr>
          <w:bCs/>
          <w:sz w:val="20"/>
          <w:szCs w:val="20"/>
        </w:rPr>
        <w:tab/>
        <w:t xml:space="preserve">Zárt fagymentes helyen, </w:t>
      </w:r>
      <w:r w:rsidR="00276BF3">
        <w:rPr>
          <w:bCs/>
          <w:sz w:val="20"/>
          <w:szCs w:val="20"/>
        </w:rPr>
        <w:t xml:space="preserve">mindennemű nedvességtől, </w:t>
      </w:r>
      <w:r>
        <w:rPr>
          <w:bCs/>
          <w:sz w:val="20"/>
          <w:szCs w:val="20"/>
        </w:rPr>
        <w:t xml:space="preserve">sugárzó hőtől, tűző naptól védve, bontatlan csomagolásban, a csomagoláson jelzett dátumtól </w:t>
      </w:r>
      <w:r w:rsidR="000745C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34592">
    <w:abstractNumId w:val="1"/>
  </w:num>
  <w:num w:numId="2" w16cid:durableId="150824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C1A61"/>
    <w:rsid w:val="000D4B02"/>
    <w:rsid w:val="000E4CB0"/>
    <w:rsid w:val="000F5E1F"/>
    <w:rsid w:val="001302E6"/>
    <w:rsid w:val="00136600"/>
    <w:rsid w:val="00137067"/>
    <w:rsid w:val="00181BF7"/>
    <w:rsid w:val="001E454C"/>
    <w:rsid w:val="0021164E"/>
    <w:rsid w:val="00222F1A"/>
    <w:rsid w:val="0023213C"/>
    <w:rsid w:val="00276BF3"/>
    <w:rsid w:val="00283562"/>
    <w:rsid w:val="002D0FC7"/>
    <w:rsid w:val="00301A3D"/>
    <w:rsid w:val="00303E5B"/>
    <w:rsid w:val="0034216C"/>
    <w:rsid w:val="00353847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3481"/>
    <w:rsid w:val="00443D9F"/>
    <w:rsid w:val="004618A6"/>
    <w:rsid w:val="00462A93"/>
    <w:rsid w:val="004B350B"/>
    <w:rsid w:val="004B3DC1"/>
    <w:rsid w:val="004D279A"/>
    <w:rsid w:val="004D7353"/>
    <w:rsid w:val="004E1CD7"/>
    <w:rsid w:val="004E403C"/>
    <w:rsid w:val="00525ED4"/>
    <w:rsid w:val="00554E62"/>
    <w:rsid w:val="00574048"/>
    <w:rsid w:val="0057461D"/>
    <w:rsid w:val="005862CF"/>
    <w:rsid w:val="005B5326"/>
    <w:rsid w:val="005C4000"/>
    <w:rsid w:val="005F2044"/>
    <w:rsid w:val="005F3FAF"/>
    <w:rsid w:val="006451CA"/>
    <w:rsid w:val="00673522"/>
    <w:rsid w:val="0067478F"/>
    <w:rsid w:val="006B763F"/>
    <w:rsid w:val="006C5B52"/>
    <w:rsid w:val="006C74C6"/>
    <w:rsid w:val="006F254D"/>
    <w:rsid w:val="00727E8A"/>
    <w:rsid w:val="00733C76"/>
    <w:rsid w:val="00747E91"/>
    <w:rsid w:val="0076535A"/>
    <w:rsid w:val="00770A40"/>
    <w:rsid w:val="00790E9B"/>
    <w:rsid w:val="007B38F6"/>
    <w:rsid w:val="007C2E13"/>
    <w:rsid w:val="007E2046"/>
    <w:rsid w:val="007E4366"/>
    <w:rsid w:val="007F728A"/>
    <w:rsid w:val="00813F24"/>
    <w:rsid w:val="0081559A"/>
    <w:rsid w:val="008438E7"/>
    <w:rsid w:val="0087167D"/>
    <w:rsid w:val="00896E63"/>
    <w:rsid w:val="008D75E1"/>
    <w:rsid w:val="00943CBD"/>
    <w:rsid w:val="00957182"/>
    <w:rsid w:val="00994F74"/>
    <w:rsid w:val="009C56B9"/>
    <w:rsid w:val="00A00774"/>
    <w:rsid w:val="00A14214"/>
    <w:rsid w:val="00A46A95"/>
    <w:rsid w:val="00A60DE7"/>
    <w:rsid w:val="00A701B5"/>
    <w:rsid w:val="00AD2B2D"/>
    <w:rsid w:val="00AD668C"/>
    <w:rsid w:val="00B16E1E"/>
    <w:rsid w:val="00B41C6E"/>
    <w:rsid w:val="00B728A8"/>
    <w:rsid w:val="00B766B6"/>
    <w:rsid w:val="00B83295"/>
    <w:rsid w:val="00BA0121"/>
    <w:rsid w:val="00BA713D"/>
    <w:rsid w:val="00BD3ADC"/>
    <w:rsid w:val="00BE60CC"/>
    <w:rsid w:val="00BF7DA2"/>
    <w:rsid w:val="00C147CA"/>
    <w:rsid w:val="00C339B7"/>
    <w:rsid w:val="00C373CA"/>
    <w:rsid w:val="00C41BC4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E44AB6"/>
    <w:rsid w:val="00E926C6"/>
    <w:rsid w:val="00EE14AF"/>
    <w:rsid w:val="00F14590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9727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7B8E-7503-43BB-973C-54E47454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8</cp:revision>
  <cp:lastPrinted>2017-02-20T07:48:00Z</cp:lastPrinted>
  <dcterms:created xsi:type="dcterms:W3CDTF">2021-03-22T10:03:00Z</dcterms:created>
  <dcterms:modified xsi:type="dcterms:W3CDTF">2022-08-26T06:36:00Z</dcterms:modified>
</cp:coreProperties>
</file>