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0299" w14:textId="77777777" w:rsidR="004178B3" w:rsidRDefault="005862CF" w:rsidP="004178B3">
      <w:pPr>
        <w:ind w:left="2552" w:hanging="2552"/>
        <w:rPr>
          <w:b/>
        </w:rPr>
      </w:pPr>
      <w:r w:rsidRPr="005862CF">
        <w:rPr>
          <w:b/>
        </w:rPr>
        <w:t>TERMÉKNÉV</w:t>
      </w:r>
      <w:r w:rsidR="004178B3">
        <w:rPr>
          <w:b/>
        </w:rPr>
        <w:tab/>
      </w:r>
      <w:r w:rsidR="00B80768">
        <w:rPr>
          <w:b/>
        </w:rPr>
        <w:t>QUARCTEX Lábazati d</w:t>
      </w:r>
      <w:r w:rsidR="00146CCE">
        <w:rPr>
          <w:b/>
        </w:rPr>
        <w:t>í</w:t>
      </w:r>
      <w:r w:rsidR="004B3DC1">
        <w:rPr>
          <w:b/>
        </w:rPr>
        <w:t>szvakolat</w:t>
      </w:r>
    </w:p>
    <w:p w14:paraId="63C1609A" w14:textId="77777777" w:rsidR="00BA0121" w:rsidRPr="003F5A2E" w:rsidRDefault="005862CF" w:rsidP="005C4000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EE14AF">
        <w:rPr>
          <w:b/>
          <w:sz w:val="20"/>
          <w:szCs w:val="20"/>
        </w:rPr>
        <w:t>LEÍRÁS/ANYAGÖSSZETÉTEL</w:t>
      </w:r>
      <w:r w:rsidRPr="00EE14AF">
        <w:rPr>
          <w:b/>
          <w:sz w:val="20"/>
          <w:szCs w:val="20"/>
        </w:rPr>
        <w:tab/>
      </w:r>
      <w:r w:rsidR="005C4000" w:rsidRPr="005C4000">
        <w:rPr>
          <w:bCs/>
          <w:sz w:val="20"/>
          <w:szCs w:val="20"/>
        </w:rPr>
        <w:t xml:space="preserve">Felhasználásra kész, vizes hígítású, </w:t>
      </w:r>
      <w:r w:rsidR="00C80908">
        <w:rPr>
          <w:bCs/>
          <w:sz w:val="20"/>
          <w:szCs w:val="20"/>
        </w:rPr>
        <w:t xml:space="preserve">mérsékelten </w:t>
      </w:r>
      <w:r w:rsidR="005C4000" w:rsidRPr="005C4000">
        <w:rPr>
          <w:bCs/>
          <w:sz w:val="20"/>
          <w:szCs w:val="20"/>
        </w:rPr>
        <w:t>p</w:t>
      </w:r>
      <w:r w:rsidR="00C80908">
        <w:rPr>
          <w:bCs/>
          <w:sz w:val="20"/>
          <w:szCs w:val="20"/>
        </w:rPr>
        <w:t>áraáteresztő lábazati</w:t>
      </w:r>
      <w:r w:rsidR="005C4000" w:rsidRPr="005C4000">
        <w:rPr>
          <w:bCs/>
          <w:sz w:val="20"/>
          <w:szCs w:val="20"/>
        </w:rPr>
        <w:t xml:space="preserve"> </w:t>
      </w:r>
      <w:r w:rsidR="00146CCE">
        <w:rPr>
          <w:bCs/>
          <w:sz w:val="20"/>
          <w:szCs w:val="20"/>
        </w:rPr>
        <w:t>d</w:t>
      </w:r>
      <w:r w:rsidR="005C4000" w:rsidRPr="005C4000">
        <w:rPr>
          <w:bCs/>
          <w:sz w:val="20"/>
          <w:szCs w:val="20"/>
        </w:rPr>
        <w:t>íszvakolat, külső és belső igényes falfelületekre,</w:t>
      </w:r>
      <w:r w:rsidR="004B3DC1">
        <w:rPr>
          <w:bCs/>
          <w:sz w:val="20"/>
          <w:szCs w:val="20"/>
        </w:rPr>
        <w:t xml:space="preserve"> </w:t>
      </w:r>
      <w:r w:rsidR="005C4000" w:rsidRPr="005C4000">
        <w:rPr>
          <w:bCs/>
          <w:sz w:val="20"/>
          <w:szCs w:val="20"/>
        </w:rPr>
        <w:t>mely környezetbarát, természetes ásványi töltőanyagokat, acryl kötőanyagot és tulajdonságjavító adalékokat</w:t>
      </w:r>
      <w:r w:rsidR="004B3DC1">
        <w:rPr>
          <w:bCs/>
          <w:sz w:val="20"/>
          <w:szCs w:val="20"/>
        </w:rPr>
        <w:t xml:space="preserve"> </w:t>
      </w:r>
      <w:r w:rsidR="005C4000" w:rsidRPr="005C4000">
        <w:rPr>
          <w:bCs/>
          <w:sz w:val="20"/>
          <w:szCs w:val="20"/>
        </w:rPr>
        <w:t>tartalmaz. Mosható, színtartó, időt álló tulajdonságokkal rendelkezik</w:t>
      </w:r>
      <w:r w:rsidR="00C80908">
        <w:rPr>
          <w:bCs/>
          <w:sz w:val="20"/>
          <w:szCs w:val="20"/>
        </w:rPr>
        <w:t>.</w:t>
      </w:r>
      <w:r w:rsidR="00770A40">
        <w:rPr>
          <w:bCs/>
          <w:sz w:val="20"/>
          <w:szCs w:val="20"/>
        </w:rPr>
        <w:t xml:space="preserve"> </w:t>
      </w:r>
      <w:r w:rsidR="005C4000" w:rsidRPr="005C4000">
        <w:rPr>
          <w:bCs/>
          <w:sz w:val="20"/>
          <w:szCs w:val="20"/>
        </w:rPr>
        <w:t>Rendelhető</w:t>
      </w:r>
      <w:r w:rsidR="004B3DC1">
        <w:rPr>
          <w:bCs/>
          <w:sz w:val="20"/>
          <w:szCs w:val="20"/>
        </w:rPr>
        <w:t xml:space="preserve"> </w:t>
      </w:r>
      <w:r w:rsidR="00C80908">
        <w:rPr>
          <w:bCs/>
          <w:sz w:val="20"/>
          <w:szCs w:val="20"/>
        </w:rPr>
        <w:t xml:space="preserve">80 színben, </w:t>
      </w:r>
      <w:r w:rsidR="005C4000" w:rsidRPr="005C4000">
        <w:rPr>
          <w:bCs/>
          <w:sz w:val="20"/>
          <w:szCs w:val="20"/>
        </w:rPr>
        <w:t xml:space="preserve">IMAGINE </w:t>
      </w:r>
      <w:r w:rsidR="00146CCE">
        <w:rPr>
          <w:bCs/>
          <w:sz w:val="20"/>
          <w:szCs w:val="20"/>
        </w:rPr>
        <w:t xml:space="preserve">színkártya </w:t>
      </w:r>
      <w:r w:rsidR="005C4000" w:rsidRPr="005C4000">
        <w:rPr>
          <w:bCs/>
          <w:sz w:val="20"/>
          <w:szCs w:val="20"/>
        </w:rPr>
        <w:t>alapján.</w:t>
      </w:r>
      <w:r w:rsidR="00770A40">
        <w:rPr>
          <w:bCs/>
          <w:sz w:val="20"/>
          <w:szCs w:val="20"/>
        </w:rPr>
        <w:t xml:space="preserve"> Az anyagigény és a kiadósság a javasolt alapozott felületre vonatkozik!</w:t>
      </w:r>
    </w:p>
    <w:p w14:paraId="0CA3D68E" w14:textId="00A5CBF3" w:rsidR="00BE60CC" w:rsidRDefault="005862CF" w:rsidP="00BE60CC">
      <w:pPr>
        <w:spacing w:line="240" w:lineRule="auto"/>
        <w:ind w:left="2552" w:hanging="2552"/>
        <w:jc w:val="both"/>
        <w:rPr>
          <w:b/>
          <w:bCs/>
          <w:sz w:val="20"/>
          <w:szCs w:val="20"/>
        </w:rPr>
      </w:pPr>
      <w:r w:rsidRPr="00EE14AF">
        <w:rPr>
          <w:b/>
          <w:sz w:val="20"/>
          <w:szCs w:val="20"/>
        </w:rPr>
        <w:t>ALKALMAZÁSI TERÜLET</w:t>
      </w:r>
      <w:r w:rsidRPr="00EE14AF">
        <w:rPr>
          <w:b/>
          <w:sz w:val="20"/>
          <w:szCs w:val="20"/>
        </w:rPr>
        <w:tab/>
      </w:r>
      <w:r w:rsidR="00BE60CC" w:rsidRPr="00BE60CC">
        <w:rPr>
          <w:bCs/>
          <w:sz w:val="20"/>
          <w:szCs w:val="20"/>
        </w:rPr>
        <w:t>Új és régi homlokzatok</w:t>
      </w:r>
      <w:r w:rsidR="00B80768">
        <w:rPr>
          <w:bCs/>
          <w:sz w:val="20"/>
          <w:szCs w:val="20"/>
        </w:rPr>
        <w:t>, lábazatok, kerítések</w:t>
      </w:r>
      <w:r w:rsidR="00BE60CC" w:rsidRPr="00BE60CC">
        <w:rPr>
          <w:bCs/>
          <w:sz w:val="20"/>
          <w:szCs w:val="20"/>
        </w:rPr>
        <w:t xml:space="preserve"> dekoratív, időjárás álló bevonata</w:t>
      </w:r>
      <w:r w:rsidR="00B80768">
        <w:rPr>
          <w:bCs/>
          <w:sz w:val="20"/>
          <w:szCs w:val="20"/>
        </w:rPr>
        <w:t>. B</w:t>
      </w:r>
      <w:r w:rsidR="00BE60CC" w:rsidRPr="00BE60CC">
        <w:rPr>
          <w:bCs/>
          <w:sz w:val="20"/>
          <w:szCs w:val="20"/>
        </w:rPr>
        <w:t>eton vagy hagyományos simító vakolat esetén, illetve</w:t>
      </w:r>
      <w:r w:rsidR="00BE60CC">
        <w:rPr>
          <w:bCs/>
          <w:sz w:val="20"/>
          <w:szCs w:val="20"/>
        </w:rPr>
        <w:t xml:space="preserve"> </w:t>
      </w:r>
      <w:r w:rsidR="00EA4469">
        <w:rPr>
          <w:sz w:val="20"/>
          <w:szCs w:val="20"/>
        </w:rPr>
        <w:t>METON</w:t>
      </w:r>
      <w:r w:rsidR="00D5671F" w:rsidRPr="00BE60CC">
        <w:rPr>
          <w:bCs/>
          <w:sz w:val="20"/>
          <w:szCs w:val="20"/>
        </w:rPr>
        <w:t xml:space="preserve"> </w:t>
      </w:r>
      <w:r w:rsidR="00BE60CC" w:rsidRPr="00BE60CC">
        <w:rPr>
          <w:bCs/>
          <w:sz w:val="20"/>
          <w:szCs w:val="20"/>
        </w:rPr>
        <w:t>EPS homlokzati hőszigetelő rendszer fedővakolata.</w:t>
      </w:r>
      <w:r w:rsidR="00BE60CC" w:rsidRPr="00BE60CC">
        <w:rPr>
          <w:b/>
          <w:bCs/>
          <w:sz w:val="20"/>
          <w:szCs w:val="20"/>
        </w:rPr>
        <w:t xml:space="preserve"> </w:t>
      </w:r>
    </w:p>
    <w:p w14:paraId="046ABA90" w14:textId="77777777" w:rsidR="0067478F" w:rsidRPr="00673522" w:rsidRDefault="00017660" w:rsidP="00BE60CC">
      <w:pPr>
        <w:spacing w:line="240" w:lineRule="auto"/>
        <w:ind w:left="2552" w:hanging="2552"/>
        <w:jc w:val="both"/>
        <w:rPr>
          <w:sz w:val="20"/>
          <w:szCs w:val="20"/>
        </w:rPr>
      </w:pPr>
      <w:r w:rsidRPr="00EE14AF">
        <w:rPr>
          <w:b/>
          <w:sz w:val="20"/>
          <w:szCs w:val="20"/>
        </w:rPr>
        <w:t>ALAPFELÜLET JELLEMZŐI</w:t>
      </w:r>
      <w:r w:rsidRPr="00EE14AF">
        <w:rPr>
          <w:b/>
          <w:sz w:val="20"/>
          <w:szCs w:val="20"/>
        </w:rPr>
        <w:tab/>
      </w:r>
      <w:r w:rsidR="00BE60CC" w:rsidRPr="00BE60CC">
        <w:rPr>
          <w:sz w:val="20"/>
          <w:szCs w:val="20"/>
        </w:rPr>
        <w:t>Az alapfelület szilárd, por- és szennyeződésmentes, valamint teljes rétegvastagságában száraz legyen. A felület</w:t>
      </w:r>
      <w:r w:rsidR="00BE60CC">
        <w:rPr>
          <w:sz w:val="20"/>
          <w:szCs w:val="20"/>
        </w:rPr>
        <w:t xml:space="preserve"> </w:t>
      </w:r>
      <w:r w:rsidR="00BE60CC" w:rsidRPr="00BE60CC">
        <w:rPr>
          <w:sz w:val="20"/>
          <w:szCs w:val="20"/>
        </w:rPr>
        <w:t>legyen sík, homogén, sérülésmentes, simítással vagy gletteléssel ellátott. Eltérő struktúrájú és nedvszívás különbséggel</w:t>
      </w:r>
      <w:r w:rsidR="00BE60CC">
        <w:rPr>
          <w:sz w:val="20"/>
          <w:szCs w:val="20"/>
        </w:rPr>
        <w:t xml:space="preserve"> </w:t>
      </w:r>
      <w:r w:rsidR="00BE60CC" w:rsidRPr="00BE60CC">
        <w:rPr>
          <w:sz w:val="20"/>
          <w:szCs w:val="20"/>
        </w:rPr>
        <w:t>rendelkező alapfelület esetén javasoljuk a teljes felület simítóhabarccsal, ragasztótapasszal vagy glettel</w:t>
      </w:r>
      <w:r w:rsidR="00BE60CC">
        <w:rPr>
          <w:sz w:val="20"/>
          <w:szCs w:val="20"/>
        </w:rPr>
        <w:t xml:space="preserve"> </w:t>
      </w:r>
      <w:r w:rsidR="00BE60CC" w:rsidRPr="00BE60CC">
        <w:rPr>
          <w:sz w:val="20"/>
          <w:szCs w:val="20"/>
        </w:rPr>
        <w:t xml:space="preserve">történő átvonását. Amennyiben a szerkezet tartós nedvességterhelésnek van kitéve, </w:t>
      </w:r>
      <w:r w:rsidR="00B80768">
        <w:rPr>
          <w:sz w:val="20"/>
          <w:szCs w:val="20"/>
        </w:rPr>
        <w:t xml:space="preserve">vízszintes felületű, vagy nem rendelkezik megfelelő vízszigeteléssel </w:t>
      </w:r>
      <w:r w:rsidR="00BE60CC" w:rsidRPr="00BE60CC">
        <w:rPr>
          <w:sz w:val="20"/>
          <w:szCs w:val="20"/>
        </w:rPr>
        <w:t>a vakolat nem alkalmazható.</w:t>
      </w:r>
    </w:p>
    <w:p w14:paraId="0D83E9E7" w14:textId="09CDF960" w:rsidR="00525ED4" w:rsidRDefault="00525ED4" w:rsidP="00353847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ALAPOZÁS</w:t>
      </w:r>
      <w:r w:rsidR="00F2118D">
        <w:rPr>
          <w:b/>
          <w:sz w:val="20"/>
          <w:szCs w:val="20"/>
        </w:rPr>
        <w:tab/>
      </w:r>
      <w:r w:rsidR="00353847" w:rsidRPr="00353847">
        <w:rPr>
          <w:bCs/>
          <w:sz w:val="20"/>
          <w:szCs w:val="20"/>
        </w:rPr>
        <w:t xml:space="preserve">Kizárólag a GROUND </w:t>
      </w:r>
      <w:r w:rsidR="00B80768">
        <w:rPr>
          <w:bCs/>
          <w:sz w:val="20"/>
          <w:szCs w:val="20"/>
        </w:rPr>
        <w:t>QUARC</w:t>
      </w:r>
      <w:r w:rsidR="00353847" w:rsidRPr="00353847">
        <w:rPr>
          <w:bCs/>
          <w:sz w:val="20"/>
          <w:szCs w:val="20"/>
        </w:rPr>
        <w:t xml:space="preserve"> vakolatalapozó használható</w:t>
      </w:r>
      <w:r w:rsidR="00B80768">
        <w:rPr>
          <w:bCs/>
          <w:sz w:val="20"/>
          <w:szCs w:val="20"/>
        </w:rPr>
        <w:t xml:space="preserve">. </w:t>
      </w:r>
      <w:r w:rsidR="00353847" w:rsidRPr="00353847">
        <w:rPr>
          <w:bCs/>
          <w:sz w:val="20"/>
          <w:szCs w:val="20"/>
        </w:rPr>
        <w:t xml:space="preserve">Ügyeljünk az alapozó egyenletes felhordására! A GROUND </w:t>
      </w:r>
      <w:r w:rsidR="00B80768">
        <w:rPr>
          <w:bCs/>
          <w:sz w:val="20"/>
          <w:szCs w:val="20"/>
        </w:rPr>
        <w:t>QUARC</w:t>
      </w:r>
      <w:r w:rsidR="00353847" w:rsidRPr="00353847">
        <w:rPr>
          <w:bCs/>
          <w:sz w:val="20"/>
          <w:szCs w:val="20"/>
        </w:rPr>
        <w:t xml:space="preserve"> vakolatalapozó párás, ködös, esős</w:t>
      </w:r>
      <w:r w:rsidR="00353847">
        <w:rPr>
          <w:bCs/>
          <w:sz w:val="20"/>
          <w:szCs w:val="20"/>
        </w:rPr>
        <w:t xml:space="preserve"> </w:t>
      </w:r>
      <w:r w:rsidR="00353847" w:rsidRPr="00353847">
        <w:rPr>
          <w:bCs/>
          <w:sz w:val="20"/>
          <w:szCs w:val="20"/>
        </w:rPr>
        <w:t>időben, illetve tűző napon nem használható. Felhordása és száradási ideje alatt a felületi és léghőmérséklet</w:t>
      </w:r>
      <w:r w:rsidR="00353847">
        <w:rPr>
          <w:bCs/>
          <w:sz w:val="20"/>
          <w:szCs w:val="20"/>
        </w:rPr>
        <w:t xml:space="preserve"> </w:t>
      </w:r>
      <w:r w:rsidR="00353847" w:rsidRPr="00353847">
        <w:rPr>
          <w:bCs/>
          <w:sz w:val="20"/>
          <w:szCs w:val="20"/>
        </w:rPr>
        <w:t xml:space="preserve">+5–+25 °C között legyen. Az alapozót a kötés ideje alatt csapadék nem érheti! A GROUND </w:t>
      </w:r>
      <w:r w:rsidR="00B80768">
        <w:rPr>
          <w:bCs/>
          <w:sz w:val="20"/>
          <w:szCs w:val="20"/>
        </w:rPr>
        <w:t>QUARC lábazati</w:t>
      </w:r>
      <w:r w:rsidR="00353847" w:rsidRPr="00353847">
        <w:rPr>
          <w:bCs/>
          <w:sz w:val="20"/>
          <w:szCs w:val="20"/>
        </w:rPr>
        <w:t xml:space="preserve"> vakolatalapozóról</w:t>
      </w:r>
      <w:r w:rsidR="00353847">
        <w:rPr>
          <w:bCs/>
          <w:sz w:val="20"/>
          <w:szCs w:val="20"/>
        </w:rPr>
        <w:t xml:space="preserve"> </w:t>
      </w:r>
      <w:r w:rsidR="00353847" w:rsidRPr="00353847">
        <w:rPr>
          <w:bCs/>
          <w:sz w:val="20"/>
          <w:szCs w:val="20"/>
        </w:rPr>
        <w:t xml:space="preserve">részletes információt talál a </w:t>
      </w:r>
      <w:hyperlink r:id="rId5" w:history="1">
        <w:r w:rsidR="00EA4469" w:rsidRPr="003844A4">
          <w:rPr>
            <w:rStyle w:val="Hiperhivatkozs"/>
            <w:bCs/>
            <w:sz w:val="20"/>
            <w:szCs w:val="20"/>
          </w:rPr>
          <w:t>www.meton.hu</w:t>
        </w:r>
      </w:hyperlink>
      <w:r w:rsidR="00B80768">
        <w:rPr>
          <w:bCs/>
          <w:sz w:val="20"/>
          <w:szCs w:val="20"/>
        </w:rPr>
        <w:t xml:space="preserve"> weboldalon</w:t>
      </w:r>
      <w:r w:rsidR="00353847" w:rsidRPr="00353847">
        <w:rPr>
          <w:bCs/>
          <w:sz w:val="20"/>
          <w:szCs w:val="20"/>
        </w:rPr>
        <w:t>.</w:t>
      </w:r>
    </w:p>
    <w:p w14:paraId="18B0F041" w14:textId="77777777" w:rsidR="009B319D" w:rsidRDefault="00525ED4" w:rsidP="00650081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525ED4">
        <w:rPr>
          <w:b/>
          <w:sz w:val="20"/>
          <w:szCs w:val="20"/>
        </w:rPr>
        <w:t>FELDOLGOZÁS MÓDJA</w:t>
      </w:r>
      <w:r w:rsidRPr="00525ED4">
        <w:rPr>
          <w:b/>
          <w:sz w:val="20"/>
          <w:szCs w:val="20"/>
        </w:rPr>
        <w:tab/>
      </w:r>
      <w:r w:rsidR="00650081" w:rsidRPr="00650081">
        <w:rPr>
          <w:bCs/>
          <w:sz w:val="20"/>
          <w:szCs w:val="20"/>
        </w:rPr>
        <w:t>Alapozás után legalább 6 óra elteltével kezdjük meg a felhordást, miután meggyőződtünk arról, hogy az alapozó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teljes mértékben megkötött és száraz! Felhasználás előtt a QUARCTEX díszvakolatot keverőszárral alacsony fordulaton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keverjük össze. Túlzott keverés az anyag felhabosodásához és elszíneződéséhez vezethet! Egy oldalon,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egy töltésdátumú anyagot használjunk, vagy keverjük össze a szükséges mennyiséget egy nagyobb edényben.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A QUARCTEX díszvakolatok párás, ködös, esős időben, illetve tűző napon nem használhatók. Felhordása és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száradási ideje alatt a felületi és léghőmérséklet +5–+25 °C között legyen. A vakolatot a kötés ideje alatt csapadék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nem érheti! Termékeinkhez színezőanyagot, vagy más egyéb anyagot (a feltüntetett víz mennyiségén kívül), házilag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hozzáadni nem szabad! Ügyeljünk arra, hogy az anyag felhordását és eldolgozását folyamatosan végezzük,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mert a túlzott várakozáskor az anyag kötése megindul. Munkahézagot színhatár képzésnél szalagozással, vagy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az élek mentén végezzünk. Egy falfelületet egy munkamenettel kell befejezni. A vakolat felhordását szemcsevastagságban,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rozsdamentes glettvassal végezzük. A QUARCTEX díszvakolat a felhordás során fehér színű, ezért a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teljes száradást követően nyeri el végleges színhatását. A felhordás során ügyeljen arra, hogy a szemcsék elrendeződése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egyenletes, zárt legyen, mert ebben az esetben garantált az alapfelület teljes fedettsége. A felhordást</w:t>
      </w:r>
      <w:r w:rsidR="00650081">
        <w:rPr>
          <w:bCs/>
          <w:sz w:val="20"/>
          <w:szCs w:val="20"/>
        </w:rPr>
        <w:t xml:space="preserve"> </w:t>
      </w:r>
      <w:r w:rsidR="00650081" w:rsidRPr="00650081">
        <w:rPr>
          <w:bCs/>
          <w:sz w:val="20"/>
          <w:szCs w:val="20"/>
        </w:rPr>
        <w:t>mindig egy irányban végezze!</w:t>
      </w:r>
      <w:r w:rsidR="00650081">
        <w:rPr>
          <w:bCs/>
          <w:sz w:val="20"/>
          <w:szCs w:val="20"/>
        </w:rPr>
        <w:t xml:space="preserve"> </w:t>
      </w:r>
    </w:p>
    <w:p w14:paraId="56FD9CF8" w14:textId="019F5DB0" w:rsidR="00D16F84" w:rsidRPr="00D16F84" w:rsidRDefault="00F2118D" w:rsidP="007F728A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D3389B">
        <w:rPr>
          <w:b/>
          <w:sz w:val="20"/>
          <w:szCs w:val="20"/>
        </w:rPr>
        <w:t>FO</w:t>
      </w:r>
      <w:r>
        <w:rPr>
          <w:b/>
          <w:sz w:val="20"/>
          <w:szCs w:val="20"/>
        </w:rPr>
        <w:t>NTOS TUDNIVALÓK</w:t>
      </w:r>
      <w:r>
        <w:rPr>
          <w:b/>
          <w:sz w:val="20"/>
          <w:szCs w:val="20"/>
        </w:rPr>
        <w:tab/>
      </w:r>
      <w:r w:rsidR="007F728A" w:rsidRPr="007F728A">
        <w:rPr>
          <w:bCs/>
          <w:sz w:val="20"/>
          <w:szCs w:val="20"/>
        </w:rPr>
        <w:t>A rétegvastagság, hőmérséklet és a páratartalom befolyásolja a száradási időt. Magas páratartalom és alacsony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hőmérséklet késlelteti, magas hőmérséklet gyorsítja a kötést és a szilárdulást. Kérjük, hogy a tájékoztatóban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leírtakat gondosan olvassák át, munkavégzés közben vegyék figyelembe, mert a gyártó csak a technológiai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előírásoknak megfelelően, szakember által, az előírt jó minőségű felületre felhordott termékre vállal garanciát!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Feltétlenül tartsák be az idevonatkozó szakmai előírásokat. Felhordás előtt a színt ellenőrizzék, mert felhordás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után színreklamációt nem áll módunkban elfogadni. Kérjük, hogy a dekoratív védő vakolattal ellátni kívánt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felületeket gondosan mérjék fel, s a szükséges mennyiséget egy megrendelésben adják le, mert a pótrendelésből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származó termék színhatásában eltérhet. A színkatalógusban lévő színek tájékoztató jellegűek, a különböző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 xml:space="preserve">termékek (falfestékek, díszvakolatok) között színeltérés lehetséges. </w:t>
      </w:r>
      <w:r w:rsidR="00EA4469">
        <w:rPr>
          <w:bCs/>
          <w:sz w:val="20"/>
          <w:szCs w:val="20"/>
        </w:rPr>
        <w:t>METON</w:t>
      </w:r>
      <w:r w:rsidR="007F728A" w:rsidRPr="007F728A">
        <w:rPr>
          <w:bCs/>
          <w:sz w:val="20"/>
          <w:szCs w:val="20"/>
        </w:rPr>
        <w:t xml:space="preserve"> THR színezésére csak</w:t>
      </w:r>
      <w:r w:rsidR="007F728A">
        <w:rPr>
          <w:bCs/>
          <w:sz w:val="20"/>
          <w:szCs w:val="20"/>
        </w:rPr>
        <w:t xml:space="preserve"> </w:t>
      </w:r>
      <w:r w:rsidR="007F728A" w:rsidRPr="007F728A">
        <w:rPr>
          <w:bCs/>
          <w:sz w:val="20"/>
          <w:szCs w:val="20"/>
        </w:rPr>
        <w:t>a 25-ös világossági érték (HBW) feletti színek alkalmazhatóak. A termék felhasználása szakértelmet igényel!</w:t>
      </w:r>
    </w:p>
    <w:p w14:paraId="5A7BA824" w14:textId="77777777" w:rsidR="00085BC8" w:rsidRPr="00064836" w:rsidRDefault="00085BC8" w:rsidP="004D7353">
      <w:pPr>
        <w:spacing w:line="240" w:lineRule="auto"/>
        <w:ind w:left="2835" w:hanging="2835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MINŐSÍTÉSEK</w:t>
      </w:r>
      <w:r w:rsidR="00B41C6E">
        <w:rPr>
          <w:b/>
          <w:sz w:val="20"/>
          <w:szCs w:val="20"/>
        </w:rPr>
        <w:t>/</w:t>
      </w:r>
      <w:r w:rsidRPr="00064836">
        <w:rPr>
          <w:b/>
          <w:sz w:val="20"/>
          <w:szCs w:val="20"/>
        </w:rPr>
        <w:t xml:space="preserve"> TERMÉKSZABVÁNY</w:t>
      </w:r>
    </w:p>
    <w:p w14:paraId="54EE42F2" w14:textId="77777777" w:rsidR="009B319D" w:rsidRPr="009B319D" w:rsidRDefault="004D7353" w:rsidP="009B319D">
      <w:pPr>
        <w:spacing w:line="240" w:lineRule="auto"/>
        <w:ind w:left="2552" w:hanging="2552"/>
        <w:jc w:val="both"/>
        <w:rPr>
          <w:bCs/>
          <w:sz w:val="20"/>
          <w:szCs w:val="20"/>
        </w:rPr>
      </w:pPr>
      <w:r w:rsidRPr="001302E6">
        <w:rPr>
          <w:bCs/>
          <w:sz w:val="20"/>
          <w:szCs w:val="20"/>
        </w:rPr>
        <w:tab/>
      </w:r>
      <w:r w:rsidR="009B319D" w:rsidRPr="009B319D">
        <w:rPr>
          <w:bCs/>
          <w:sz w:val="20"/>
          <w:szCs w:val="20"/>
        </w:rPr>
        <w:t>ÉMI TÜV SÜD Kft. R–191305.</w:t>
      </w:r>
    </w:p>
    <w:p w14:paraId="538B1DE5" w14:textId="77777777" w:rsidR="009B319D" w:rsidRDefault="009B319D" w:rsidP="009B319D">
      <w:pPr>
        <w:spacing w:line="240" w:lineRule="auto"/>
        <w:ind w:left="2552"/>
        <w:jc w:val="both"/>
        <w:rPr>
          <w:bCs/>
          <w:sz w:val="20"/>
          <w:szCs w:val="20"/>
        </w:rPr>
      </w:pPr>
      <w:r w:rsidRPr="009B319D">
        <w:rPr>
          <w:bCs/>
          <w:sz w:val="20"/>
          <w:szCs w:val="20"/>
        </w:rPr>
        <w:t>MSZ EN 15824</w:t>
      </w:r>
      <w:r w:rsidR="005978B8">
        <w:rPr>
          <w:bCs/>
          <w:sz w:val="20"/>
          <w:szCs w:val="20"/>
        </w:rPr>
        <w:t>:2017.</w:t>
      </w:r>
    </w:p>
    <w:p w14:paraId="1B06CE2F" w14:textId="77777777" w:rsidR="0087167D" w:rsidRPr="00064836" w:rsidRDefault="004D7353" w:rsidP="009B319D">
      <w:pPr>
        <w:spacing w:line="240" w:lineRule="auto"/>
        <w:ind w:left="2552" w:hanging="2552"/>
        <w:jc w:val="both"/>
        <w:rPr>
          <w:b/>
          <w:sz w:val="20"/>
          <w:szCs w:val="20"/>
        </w:rPr>
      </w:pPr>
      <w:r w:rsidRPr="00064836">
        <w:rPr>
          <w:b/>
          <w:sz w:val="20"/>
          <w:szCs w:val="20"/>
        </w:rPr>
        <w:t>MŰSZAKI ALAPADATOK</w:t>
      </w:r>
      <w:r w:rsidRPr="00064836">
        <w:rPr>
          <w:b/>
          <w:sz w:val="20"/>
          <w:szCs w:val="20"/>
        </w:rPr>
        <w:tab/>
      </w:r>
    </w:p>
    <w:tbl>
      <w:tblPr>
        <w:tblStyle w:val="Rcsostblzat"/>
        <w:tblW w:w="0" w:type="auto"/>
        <w:tblInd w:w="2835" w:type="dxa"/>
        <w:tblLook w:val="04A0" w:firstRow="1" w:lastRow="0" w:firstColumn="1" w:lastColumn="0" w:noHBand="0" w:noVBand="1"/>
      </w:tblPr>
      <w:tblGrid>
        <w:gridCol w:w="2113"/>
        <w:gridCol w:w="5499"/>
      </w:tblGrid>
      <w:tr w:rsidR="0087167D" w14:paraId="5B9656AC" w14:textId="77777777" w:rsidTr="0087167D">
        <w:tc>
          <w:tcPr>
            <w:tcW w:w="2113" w:type="dxa"/>
          </w:tcPr>
          <w:p w14:paraId="6F209B71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Anyagigény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0F82AFF" w14:textId="77777777" w:rsidR="0087167D" w:rsidRPr="00C147CA" w:rsidRDefault="009B319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~3</w:t>
            </w:r>
            <w:r w:rsidR="00C714D8">
              <w:rPr>
                <w:bCs/>
                <w:sz w:val="20"/>
                <w:szCs w:val="20"/>
              </w:rPr>
              <w:t>,5</w:t>
            </w:r>
            <w:r w:rsidR="0087167D" w:rsidRPr="00C147CA">
              <w:rPr>
                <w:bCs/>
                <w:sz w:val="20"/>
                <w:szCs w:val="20"/>
              </w:rPr>
              <w:t xml:space="preserve"> </w:t>
            </w:r>
            <w:r w:rsidR="00354DF5">
              <w:rPr>
                <w:bCs/>
                <w:sz w:val="20"/>
                <w:szCs w:val="20"/>
              </w:rPr>
              <w:t>kg</w:t>
            </w:r>
            <w:r w:rsidR="00B16E1E">
              <w:rPr>
                <w:bCs/>
                <w:sz w:val="20"/>
                <w:szCs w:val="20"/>
              </w:rPr>
              <w:t>/m</w:t>
            </w:r>
            <w:r w:rsidR="00B16E1E">
              <w:rPr>
                <w:bCs/>
                <w:sz w:val="20"/>
                <w:szCs w:val="20"/>
                <w:vertAlign w:val="superscript"/>
              </w:rPr>
              <w:t>2</w:t>
            </w:r>
            <w:r w:rsidR="00C714D8">
              <w:rPr>
                <w:bCs/>
                <w:sz w:val="20"/>
                <w:szCs w:val="20"/>
              </w:rPr>
              <w:t>.</w:t>
            </w:r>
            <w:r w:rsidR="00C714D8">
              <w:rPr>
                <w:bCs/>
                <w:sz w:val="20"/>
                <w:szCs w:val="20"/>
              </w:rPr>
              <w:br/>
            </w:r>
            <w:r w:rsidR="0087167D" w:rsidRPr="00C147CA">
              <w:rPr>
                <w:bCs/>
                <w:sz w:val="20"/>
                <w:szCs w:val="20"/>
              </w:rPr>
              <w:t xml:space="preserve">Az anyagigény tájékoztató jellegű, kis mértékben eltérhet a </w:t>
            </w:r>
            <w:r w:rsidR="0087167D" w:rsidRPr="00C147CA">
              <w:rPr>
                <w:bCs/>
                <w:sz w:val="20"/>
                <w:szCs w:val="20"/>
              </w:rPr>
              <w:lastRenderedPageBreak/>
              <w:t>megadott mennyiségtől, a munkavégzési technológiától és az alaptól függően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7BCBB356" w14:textId="77777777" w:rsidTr="0087167D">
        <w:tc>
          <w:tcPr>
            <w:tcW w:w="2113" w:type="dxa"/>
          </w:tcPr>
          <w:p w14:paraId="3187DCC0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lastRenderedPageBreak/>
              <w:t>Hígítás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442C8A8A" w14:textId="77777777" w:rsidR="0087167D" w:rsidRPr="001302E6" w:rsidRDefault="00C714D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max. 0,1 – 0,2 l csapvíz/vödör.</w:t>
            </w:r>
          </w:p>
        </w:tc>
      </w:tr>
      <w:tr w:rsidR="0087167D" w14:paraId="3E731EAE" w14:textId="77777777" w:rsidTr="0087167D">
        <w:tc>
          <w:tcPr>
            <w:tcW w:w="2113" w:type="dxa"/>
          </w:tcPr>
          <w:p w14:paraId="50ABD6F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Felhordás eszközei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B628AC9" w14:textId="77777777" w:rsidR="0087167D" w:rsidRPr="00C147CA" w:rsidRDefault="00C714D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rozsdamentes glettvas</w:t>
            </w:r>
            <w:r w:rsidR="009B319D">
              <w:rPr>
                <w:bCs/>
                <w:sz w:val="20"/>
                <w:szCs w:val="20"/>
              </w:rPr>
              <w:t>.</w:t>
            </w:r>
          </w:p>
        </w:tc>
      </w:tr>
      <w:tr w:rsidR="00C714D8" w14:paraId="737D7004" w14:textId="77777777" w:rsidTr="0087167D">
        <w:tc>
          <w:tcPr>
            <w:tcW w:w="2113" w:type="dxa"/>
          </w:tcPr>
          <w:p w14:paraId="616CD525" w14:textId="77777777" w:rsidR="00C714D8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Struktúrák, szemcseméret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739E7C6" w14:textId="77777777" w:rsidR="00C714D8" w:rsidRDefault="009B319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mm</w:t>
            </w:r>
            <w:r w:rsidR="001055BA">
              <w:rPr>
                <w:bCs/>
                <w:sz w:val="20"/>
                <w:szCs w:val="20"/>
              </w:rPr>
              <w:t>.</w:t>
            </w:r>
          </w:p>
        </w:tc>
      </w:tr>
      <w:tr w:rsidR="00F3053A" w14:paraId="251E356C" w14:textId="77777777" w:rsidTr="0087167D">
        <w:tc>
          <w:tcPr>
            <w:tcW w:w="2113" w:type="dxa"/>
          </w:tcPr>
          <w:p w14:paraId="2E3F4888" w14:textId="77777777" w:rsidR="00F3053A" w:rsidRDefault="00F3053A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Színválaszték:</w:t>
            </w:r>
          </w:p>
        </w:tc>
        <w:tc>
          <w:tcPr>
            <w:tcW w:w="5499" w:type="dxa"/>
          </w:tcPr>
          <w:p w14:paraId="4CCE65A4" w14:textId="77777777" w:rsidR="00F3053A" w:rsidRDefault="009B319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80 színben, </w:t>
            </w:r>
            <w:r w:rsidR="00F3053A">
              <w:rPr>
                <w:bCs/>
                <w:sz w:val="20"/>
                <w:szCs w:val="20"/>
              </w:rPr>
              <w:t xml:space="preserve">IMAGINE </w:t>
            </w:r>
            <w:r w:rsidR="001055BA">
              <w:rPr>
                <w:bCs/>
                <w:sz w:val="20"/>
                <w:szCs w:val="20"/>
              </w:rPr>
              <w:t>színkártya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23C99F1" w14:textId="77777777" w:rsidTr="0087167D">
        <w:tc>
          <w:tcPr>
            <w:tcW w:w="2113" w:type="dxa"/>
          </w:tcPr>
          <w:p w14:paraId="12F438D8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Kültéri/Beltéri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3E356A52" w14:textId="77777777" w:rsidR="0087167D" w:rsidRPr="001302E6" w:rsidRDefault="00303E5B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Kül és </w:t>
            </w:r>
            <w:r w:rsidR="0087167D" w:rsidRPr="00C147CA">
              <w:rPr>
                <w:bCs/>
                <w:sz w:val="20"/>
                <w:szCs w:val="20"/>
              </w:rPr>
              <w:t>beltéri felhasználásra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6FF4601C" w14:textId="77777777" w:rsidTr="0087167D">
        <w:tc>
          <w:tcPr>
            <w:tcW w:w="2113" w:type="dxa"/>
          </w:tcPr>
          <w:p w14:paraId="09EA7757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Hőmérséklet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02F0EE58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+5 - +25°C</w:t>
            </w:r>
            <w:r w:rsidR="006C5B52">
              <w:rPr>
                <w:bCs/>
                <w:sz w:val="20"/>
                <w:szCs w:val="20"/>
              </w:rPr>
              <w:t xml:space="preserve"> között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25C4652C" w14:textId="77777777" w:rsidTr="0087167D">
        <w:tc>
          <w:tcPr>
            <w:tcW w:w="2113" w:type="dxa"/>
          </w:tcPr>
          <w:p w14:paraId="0D181095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Páratartalom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6F40D8A7" w14:textId="77777777" w:rsidR="0087167D" w:rsidRDefault="006C5B52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 megadott értékek 42% relatív páratartalom mellett 20°C-on értendőek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0AF788F" w14:textId="77777777" w:rsidTr="0087167D">
        <w:tc>
          <w:tcPr>
            <w:tcW w:w="2113" w:type="dxa"/>
          </w:tcPr>
          <w:p w14:paraId="7A6A0F0A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Száradási idő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1CFEC77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9B319D">
              <w:rPr>
                <w:bCs/>
                <w:sz w:val="20"/>
                <w:szCs w:val="20"/>
              </w:rPr>
              <w:t>24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87167D" w14:paraId="3EBEC773" w14:textId="77777777" w:rsidTr="0087167D">
        <w:tc>
          <w:tcPr>
            <w:tcW w:w="2113" w:type="dxa"/>
          </w:tcPr>
          <w:p w14:paraId="56B0CBEE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Porszáradás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578C5C53" w14:textId="77777777" w:rsidR="0087167D" w:rsidRPr="00B16E1E" w:rsidRDefault="006C5B52" w:rsidP="004D7353">
            <w:pPr>
              <w:rPr>
                <w:bCs/>
                <w:sz w:val="20"/>
                <w:szCs w:val="20"/>
              </w:rPr>
            </w:pPr>
            <w:r w:rsidRPr="00B16E1E">
              <w:rPr>
                <w:bCs/>
                <w:sz w:val="20"/>
                <w:szCs w:val="20"/>
              </w:rPr>
              <w:t>~</w:t>
            </w:r>
            <w:r w:rsidR="009B319D">
              <w:rPr>
                <w:bCs/>
                <w:sz w:val="20"/>
                <w:szCs w:val="20"/>
              </w:rPr>
              <w:t>4</w:t>
            </w:r>
            <w:r w:rsidRPr="00B16E1E">
              <w:rPr>
                <w:bCs/>
                <w:sz w:val="20"/>
                <w:szCs w:val="20"/>
              </w:rPr>
              <w:t xml:space="preserve"> óra</w:t>
            </w:r>
            <w:r w:rsidR="00C714D8">
              <w:rPr>
                <w:bCs/>
                <w:sz w:val="20"/>
                <w:szCs w:val="20"/>
              </w:rPr>
              <w:t>.</w:t>
            </w:r>
          </w:p>
        </w:tc>
      </w:tr>
      <w:tr w:rsidR="009B319D" w14:paraId="76E438CD" w14:textId="77777777" w:rsidTr="0087167D">
        <w:tc>
          <w:tcPr>
            <w:tcW w:w="2113" w:type="dxa"/>
          </w:tcPr>
          <w:p w14:paraId="37F664D0" w14:textId="77777777" w:rsidR="009B319D" w:rsidRPr="0087167D" w:rsidRDefault="009B319D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Záporbiztos szilárdulás:</w:t>
            </w:r>
          </w:p>
        </w:tc>
        <w:tc>
          <w:tcPr>
            <w:tcW w:w="5499" w:type="dxa"/>
          </w:tcPr>
          <w:p w14:paraId="028657D5" w14:textId="77777777" w:rsidR="009B319D" w:rsidRPr="00B16E1E" w:rsidRDefault="009B319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~8 óra.</w:t>
            </w:r>
          </w:p>
        </w:tc>
      </w:tr>
      <w:tr w:rsidR="0087167D" w14:paraId="3E9F6A35" w14:textId="77777777" w:rsidTr="0087167D">
        <w:tc>
          <w:tcPr>
            <w:tcW w:w="2113" w:type="dxa"/>
          </w:tcPr>
          <w:p w14:paraId="2C641A0B" w14:textId="77777777" w:rsidR="0087167D" w:rsidRPr="0087167D" w:rsidRDefault="00C714D8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Átvonhatóság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1747F56F" w14:textId="77777777" w:rsidR="0087167D" w:rsidRPr="00B16E1E" w:rsidRDefault="00C714D8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óra. Figyelem! Felületfestés esetén a struktúra megváltozik.</w:t>
            </w:r>
          </w:p>
        </w:tc>
      </w:tr>
      <w:tr w:rsidR="00F3053A" w14:paraId="08463A20" w14:textId="77777777" w:rsidTr="0087167D">
        <w:tc>
          <w:tcPr>
            <w:tcW w:w="2113" w:type="dxa"/>
          </w:tcPr>
          <w:p w14:paraId="04BA46A7" w14:textId="77777777" w:rsidR="00F3053A" w:rsidRDefault="00F3053A" w:rsidP="004D73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Tisztíthatóság:</w:t>
            </w:r>
          </w:p>
        </w:tc>
        <w:tc>
          <w:tcPr>
            <w:tcW w:w="5499" w:type="dxa"/>
          </w:tcPr>
          <w:p w14:paraId="79352E82" w14:textId="77777777" w:rsidR="00F3053A" w:rsidRDefault="00F3053A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finom szőrű kefével és tiszta vízzel tisztítható. Kerülje mindenféle mosó- és tisztítószer használatát!</w:t>
            </w:r>
          </w:p>
        </w:tc>
      </w:tr>
      <w:tr w:rsidR="0087167D" w14:paraId="28AEE429" w14:textId="77777777" w:rsidTr="0087167D">
        <w:tc>
          <w:tcPr>
            <w:tcW w:w="2113" w:type="dxa"/>
          </w:tcPr>
          <w:p w14:paraId="09308BB6" w14:textId="77777777" w:rsidR="0087167D" w:rsidRPr="0087167D" w:rsidRDefault="0087167D" w:rsidP="004D7353">
            <w:pPr>
              <w:rPr>
                <w:b/>
                <w:sz w:val="20"/>
                <w:szCs w:val="20"/>
              </w:rPr>
            </w:pPr>
            <w:r w:rsidRPr="0087167D">
              <w:rPr>
                <w:b/>
                <w:sz w:val="20"/>
                <w:szCs w:val="20"/>
              </w:rPr>
              <w:t>Tűzvédelmi besorolás</w:t>
            </w:r>
            <w:r w:rsidR="00F3053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499" w:type="dxa"/>
          </w:tcPr>
          <w:p w14:paraId="266C6D6E" w14:textId="77777777" w:rsidR="0087167D" w:rsidRDefault="0087167D" w:rsidP="004D73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F.</w:t>
            </w:r>
          </w:p>
        </w:tc>
      </w:tr>
    </w:tbl>
    <w:p w14:paraId="5873D282" w14:textId="77777777" w:rsidR="004D7353" w:rsidRDefault="004D7353" w:rsidP="004D7353">
      <w:pPr>
        <w:spacing w:line="240" w:lineRule="auto"/>
        <w:ind w:left="2835" w:hanging="2835"/>
        <w:rPr>
          <w:bCs/>
          <w:sz w:val="20"/>
          <w:szCs w:val="20"/>
        </w:rPr>
      </w:pPr>
    </w:p>
    <w:p w14:paraId="6E5FA85B" w14:textId="77777777" w:rsidR="004D7353" w:rsidRPr="0023213C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KISZERELÉS</w:t>
      </w:r>
      <w:r w:rsidRPr="00064836">
        <w:rPr>
          <w:b/>
          <w:sz w:val="20"/>
          <w:szCs w:val="20"/>
        </w:rPr>
        <w:tab/>
      </w:r>
      <w:r w:rsidR="009B319D" w:rsidRPr="009B319D">
        <w:rPr>
          <w:bCs/>
          <w:sz w:val="20"/>
          <w:szCs w:val="20"/>
        </w:rPr>
        <w:t>1</w:t>
      </w:r>
      <w:r w:rsidR="00F3053A" w:rsidRPr="009B319D">
        <w:rPr>
          <w:bCs/>
          <w:sz w:val="20"/>
          <w:szCs w:val="20"/>
        </w:rPr>
        <w:t>5</w:t>
      </w:r>
      <w:r w:rsidR="00354DF5" w:rsidRPr="009B319D">
        <w:rPr>
          <w:bCs/>
          <w:sz w:val="20"/>
          <w:szCs w:val="20"/>
        </w:rPr>
        <w:t xml:space="preserve"> </w:t>
      </w:r>
      <w:r w:rsidR="00354DF5">
        <w:rPr>
          <w:bCs/>
          <w:sz w:val="20"/>
          <w:szCs w:val="20"/>
        </w:rPr>
        <w:t>kg</w:t>
      </w:r>
      <w:r w:rsidR="00A60DE7" w:rsidRPr="00A60DE7">
        <w:rPr>
          <w:bCs/>
          <w:sz w:val="20"/>
          <w:szCs w:val="20"/>
        </w:rPr>
        <w:t xml:space="preserve"> légmentesen záródó műanyag vödör</w:t>
      </w:r>
      <w:r w:rsidR="00354DF5">
        <w:rPr>
          <w:bCs/>
          <w:sz w:val="20"/>
          <w:szCs w:val="20"/>
        </w:rPr>
        <w:t>ben</w:t>
      </w:r>
      <w:r w:rsidR="00A60DE7" w:rsidRPr="00A60DE7">
        <w:rPr>
          <w:bCs/>
          <w:sz w:val="20"/>
          <w:szCs w:val="20"/>
        </w:rPr>
        <w:t>.</w:t>
      </w:r>
    </w:p>
    <w:p w14:paraId="66CA90CF" w14:textId="77777777" w:rsidR="004D7353" w:rsidRDefault="004D7353" w:rsidP="00064836">
      <w:pPr>
        <w:spacing w:line="240" w:lineRule="auto"/>
        <w:ind w:left="2552" w:hanging="2552"/>
        <w:rPr>
          <w:bCs/>
          <w:sz w:val="20"/>
          <w:szCs w:val="20"/>
        </w:rPr>
      </w:pPr>
      <w:r w:rsidRPr="00064836">
        <w:rPr>
          <w:b/>
          <w:sz w:val="20"/>
          <w:szCs w:val="20"/>
        </w:rPr>
        <w:t>TÁROLÁS / ELTARTHATÓSÁG</w:t>
      </w:r>
      <w:r>
        <w:rPr>
          <w:bCs/>
          <w:sz w:val="20"/>
          <w:szCs w:val="20"/>
        </w:rPr>
        <w:tab/>
        <w:t>Zárt fagymentes helyen, sugárzó hőtől, tűző naptól védve, bontatlan csomagolásban, a csomagoláson jelzett dátumtól 2 évig (+5 - +25°C között)</w:t>
      </w:r>
      <w:r w:rsidR="00354DF5">
        <w:rPr>
          <w:bCs/>
          <w:sz w:val="20"/>
          <w:szCs w:val="20"/>
        </w:rPr>
        <w:t>.</w:t>
      </w:r>
    </w:p>
    <w:sectPr w:rsidR="004D7353" w:rsidSect="0058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DA2"/>
    <w:rsid w:val="00017660"/>
    <w:rsid w:val="00057A98"/>
    <w:rsid w:val="00064836"/>
    <w:rsid w:val="00085BC8"/>
    <w:rsid w:val="000D4B02"/>
    <w:rsid w:val="000E4CB0"/>
    <w:rsid w:val="000F5E1F"/>
    <w:rsid w:val="001055BA"/>
    <w:rsid w:val="001302E6"/>
    <w:rsid w:val="00137067"/>
    <w:rsid w:val="00146CCE"/>
    <w:rsid w:val="00181BF7"/>
    <w:rsid w:val="00222F1A"/>
    <w:rsid w:val="0023213C"/>
    <w:rsid w:val="00283562"/>
    <w:rsid w:val="00301A3D"/>
    <w:rsid w:val="00303E5B"/>
    <w:rsid w:val="00353847"/>
    <w:rsid w:val="00354DF5"/>
    <w:rsid w:val="00373D3A"/>
    <w:rsid w:val="00387C69"/>
    <w:rsid w:val="003A0283"/>
    <w:rsid w:val="003A1EB3"/>
    <w:rsid w:val="003B2C41"/>
    <w:rsid w:val="003F5A2E"/>
    <w:rsid w:val="00401E5E"/>
    <w:rsid w:val="004178B3"/>
    <w:rsid w:val="00421A8B"/>
    <w:rsid w:val="00443481"/>
    <w:rsid w:val="004618A6"/>
    <w:rsid w:val="00462A93"/>
    <w:rsid w:val="004B3DC1"/>
    <w:rsid w:val="004D279A"/>
    <w:rsid w:val="004D7353"/>
    <w:rsid w:val="004E403C"/>
    <w:rsid w:val="00525ED4"/>
    <w:rsid w:val="00574048"/>
    <w:rsid w:val="005862CF"/>
    <w:rsid w:val="005978B8"/>
    <w:rsid w:val="005B5326"/>
    <w:rsid w:val="005C4000"/>
    <w:rsid w:val="005F2044"/>
    <w:rsid w:val="00650081"/>
    <w:rsid w:val="00667F25"/>
    <w:rsid w:val="00673522"/>
    <w:rsid w:val="0067478F"/>
    <w:rsid w:val="006B763F"/>
    <w:rsid w:val="006C5B52"/>
    <w:rsid w:val="006F254D"/>
    <w:rsid w:val="00733C76"/>
    <w:rsid w:val="0076535A"/>
    <w:rsid w:val="00770A40"/>
    <w:rsid w:val="00790E9B"/>
    <w:rsid w:val="007A2EAA"/>
    <w:rsid w:val="007B38F6"/>
    <w:rsid w:val="007F728A"/>
    <w:rsid w:val="0081559A"/>
    <w:rsid w:val="008438E7"/>
    <w:rsid w:val="0087167D"/>
    <w:rsid w:val="00896E63"/>
    <w:rsid w:val="008D75E1"/>
    <w:rsid w:val="00943CBD"/>
    <w:rsid w:val="00957182"/>
    <w:rsid w:val="00994F74"/>
    <w:rsid w:val="009B319D"/>
    <w:rsid w:val="009C56B9"/>
    <w:rsid w:val="00A60DE7"/>
    <w:rsid w:val="00A701B5"/>
    <w:rsid w:val="00AD2B2D"/>
    <w:rsid w:val="00AD668C"/>
    <w:rsid w:val="00B16E1E"/>
    <w:rsid w:val="00B41C6E"/>
    <w:rsid w:val="00B56592"/>
    <w:rsid w:val="00B728A8"/>
    <w:rsid w:val="00B80768"/>
    <w:rsid w:val="00B83295"/>
    <w:rsid w:val="00BA0121"/>
    <w:rsid w:val="00BD3ADC"/>
    <w:rsid w:val="00BE60CC"/>
    <w:rsid w:val="00BF7DA2"/>
    <w:rsid w:val="00C147CA"/>
    <w:rsid w:val="00C339B7"/>
    <w:rsid w:val="00C373CA"/>
    <w:rsid w:val="00C56233"/>
    <w:rsid w:val="00C714D8"/>
    <w:rsid w:val="00C74D3F"/>
    <w:rsid w:val="00C80908"/>
    <w:rsid w:val="00D0081E"/>
    <w:rsid w:val="00D16F84"/>
    <w:rsid w:val="00D3389B"/>
    <w:rsid w:val="00D34819"/>
    <w:rsid w:val="00D40AE9"/>
    <w:rsid w:val="00D53C70"/>
    <w:rsid w:val="00D5671F"/>
    <w:rsid w:val="00D579C6"/>
    <w:rsid w:val="00D75BD2"/>
    <w:rsid w:val="00D82B96"/>
    <w:rsid w:val="00D8387F"/>
    <w:rsid w:val="00D86378"/>
    <w:rsid w:val="00DA759C"/>
    <w:rsid w:val="00E926C6"/>
    <w:rsid w:val="00EA4469"/>
    <w:rsid w:val="00EE14AF"/>
    <w:rsid w:val="00F2118D"/>
    <w:rsid w:val="00F3053A"/>
    <w:rsid w:val="00F54794"/>
    <w:rsid w:val="00F67AB0"/>
    <w:rsid w:val="00F72608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37D1"/>
  <w15:chartTrackingRefBased/>
  <w15:docId w15:val="{F260D7C2-4780-44C0-AE20-9A2D241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ableParagraph">
    <w:name w:val="Table Paragraph"/>
    <w:basedOn w:val="Norml"/>
    <w:uiPriority w:val="1"/>
    <w:qFormat/>
    <w:rsid w:val="00181BF7"/>
    <w:pPr>
      <w:widowControl w:val="0"/>
      <w:spacing w:after="0" w:line="240" w:lineRule="auto"/>
    </w:pPr>
    <w:rPr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329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871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8076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eton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B706B-17DB-4C4C-A62A-EA12940D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682</Words>
  <Characters>4712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lgyorgy</dc:creator>
  <cp:keywords/>
  <dc:description/>
  <cp:lastModifiedBy>Richárd J. Kovács</cp:lastModifiedBy>
  <cp:revision>2</cp:revision>
  <cp:lastPrinted>2017-02-20T07:48:00Z</cp:lastPrinted>
  <dcterms:created xsi:type="dcterms:W3CDTF">2022-08-29T11:19:00Z</dcterms:created>
  <dcterms:modified xsi:type="dcterms:W3CDTF">2022-08-29T11:19:00Z</dcterms:modified>
</cp:coreProperties>
</file>