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5635" w14:textId="3BE83568" w:rsidR="004178B3" w:rsidRPr="00952336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D156C2">
        <w:rPr>
          <w:b/>
        </w:rPr>
        <w:t xml:space="preserve">STONE </w:t>
      </w:r>
      <w:r w:rsidR="002E1373">
        <w:rPr>
          <w:b/>
        </w:rPr>
        <w:t>PR</w:t>
      </w:r>
      <w:r w:rsidR="00DE606D">
        <w:rPr>
          <w:b/>
        </w:rPr>
        <w:t>E</w:t>
      </w:r>
      <w:r w:rsidR="002E1373">
        <w:rPr>
          <w:b/>
        </w:rPr>
        <w:t xml:space="preserve">MIUM </w:t>
      </w:r>
      <w:r w:rsidR="00E45D96">
        <w:rPr>
          <w:b/>
        </w:rPr>
        <w:t xml:space="preserve">flexibilis </w:t>
      </w:r>
      <w:r w:rsidR="00D156C2">
        <w:rPr>
          <w:b/>
        </w:rPr>
        <w:t>burkolat</w:t>
      </w:r>
      <w:r w:rsidR="005B185B">
        <w:rPr>
          <w:b/>
        </w:rPr>
        <w:t>ragasztó</w:t>
      </w:r>
    </w:p>
    <w:p w14:paraId="31EE0B0B" w14:textId="6DDEB32B" w:rsidR="00D53C70" w:rsidRPr="000C3F46" w:rsidRDefault="005862CF" w:rsidP="0051793A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952336">
        <w:rPr>
          <w:b/>
          <w:sz w:val="20"/>
          <w:szCs w:val="20"/>
        </w:rPr>
        <w:t>LEÍRÁS/ANYAGÖSSZETÉTEL</w:t>
      </w:r>
      <w:r w:rsidRPr="00952336">
        <w:rPr>
          <w:b/>
          <w:sz w:val="20"/>
          <w:szCs w:val="20"/>
        </w:rPr>
        <w:tab/>
      </w:r>
      <w:r w:rsidR="00D156C2" w:rsidRPr="00D156C2">
        <w:rPr>
          <w:bCs/>
          <w:sz w:val="20"/>
          <w:szCs w:val="20"/>
        </w:rPr>
        <w:t xml:space="preserve">STONE </w:t>
      </w:r>
      <w:r w:rsidR="002E1373" w:rsidRPr="002E1373">
        <w:rPr>
          <w:bCs/>
          <w:sz w:val="20"/>
          <w:szCs w:val="20"/>
        </w:rPr>
        <w:t xml:space="preserve">PREMIUM </w:t>
      </w:r>
      <w:proofErr w:type="spellStart"/>
      <w:r w:rsidR="002E1373" w:rsidRPr="002E1373">
        <w:rPr>
          <w:bCs/>
          <w:sz w:val="20"/>
          <w:szCs w:val="20"/>
        </w:rPr>
        <w:t>gyárilag</w:t>
      </w:r>
      <w:proofErr w:type="spellEnd"/>
      <w:r w:rsidR="002E1373" w:rsidRPr="002E1373">
        <w:rPr>
          <w:bCs/>
          <w:sz w:val="20"/>
          <w:szCs w:val="20"/>
        </w:rPr>
        <w:t xml:space="preserve"> előkevert, por alakú, cement kötőanyagot, ásványi töltőanyagot, szálerősítést és</w:t>
      </w:r>
      <w:r w:rsidR="002E1373">
        <w:rPr>
          <w:bCs/>
          <w:sz w:val="20"/>
          <w:szCs w:val="20"/>
        </w:rPr>
        <w:t xml:space="preserve"> </w:t>
      </w:r>
      <w:r w:rsidR="002E1373" w:rsidRPr="002E1373">
        <w:rPr>
          <w:bCs/>
          <w:sz w:val="20"/>
          <w:szCs w:val="20"/>
        </w:rPr>
        <w:t>tulajdonságjavító adalékokat tartalmazó fagyálló szürke színű flexibilis ragasztóhabarcs.</w:t>
      </w:r>
      <w:r w:rsidR="0051793A" w:rsidRPr="0051793A">
        <w:rPr>
          <w:bCs/>
          <w:sz w:val="20"/>
          <w:szCs w:val="20"/>
        </w:rPr>
        <w:t xml:space="preserve"> </w:t>
      </w:r>
      <w:r w:rsidR="0051793A">
        <w:rPr>
          <w:bCs/>
          <w:sz w:val="20"/>
          <w:szCs w:val="20"/>
        </w:rPr>
        <w:t xml:space="preserve">A </w:t>
      </w:r>
      <w:r w:rsidR="00D156C2">
        <w:rPr>
          <w:bCs/>
          <w:sz w:val="20"/>
          <w:szCs w:val="20"/>
        </w:rPr>
        <w:t xml:space="preserve">STONE </w:t>
      </w:r>
      <w:r w:rsidR="0051793A">
        <w:rPr>
          <w:bCs/>
          <w:sz w:val="20"/>
          <w:szCs w:val="20"/>
        </w:rPr>
        <w:t xml:space="preserve">PREMIUM ragasztótapasz </w:t>
      </w:r>
      <w:r w:rsidR="000B2AD9">
        <w:rPr>
          <w:bCs/>
          <w:sz w:val="20"/>
          <w:szCs w:val="20"/>
        </w:rPr>
        <w:t>MSZ</w:t>
      </w:r>
      <w:r w:rsidR="0051793A">
        <w:rPr>
          <w:bCs/>
          <w:sz w:val="20"/>
          <w:szCs w:val="20"/>
        </w:rPr>
        <w:t xml:space="preserve"> EN 12004 szabvány szerinti a C2TE S1 osztályba tartozik. Cement kötésű nagy tapadószilárdságú (C2</w:t>
      </w:r>
      <w:r w:rsidR="0051793A" w:rsidRPr="009A24AD">
        <w:rPr>
          <w:bCs/>
          <w:sz w:val="20"/>
          <w:szCs w:val="20"/>
        </w:rPr>
        <w:t>), lecsúszásmentes (T), nyújtott</w:t>
      </w:r>
      <w:r w:rsidR="0051793A">
        <w:rPr>
          <w:bCs/>
          <w:sz w:val="20"/>
          <w:szCs w:val="20"/>
        </w:rPr>
        <w:t xml:space="preserve"> nyitott idejű (E), alakváltozásra képes (S1</w:t>
      </w:r>
      <w:r w:rsidR="00DE606D">
        <w:rPr>
          <w:bCs/>
          <w:sz w:val="20"/>
          <w:szCs w:val="20"/>
        </w:rPr>
        <w:t>)</w:t>
      </w:r>
      <w:r w:rsidR="0051793A">
        <w:rPr>
          <w:bCs/>
          <w:sz w:val="20"/>
          <w:szCs w:val="20"/>
        </w:rPr>
        <w:t>.</w:t>
      </w:r>
    </w:p>
    <w:p w14:paraId="51F0180C" w14:textId="348A1DCA" w:rsidR="00301E62" w:rsidRDefault="005862CF" w:rsidP="00301E62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2E1373" w:rsidRPr="002E1373">
        <w:rPr>
          <w:bCs/>
          <w:sz w:val="20"/>
          <w:szCs w:val="20"/>
        </w:rPr>
        <w:t>Különösen alkalmas homlokzati burkolatok, valamint nagyméretű, sötét színű burkolólapok ragasztására, nagy</w:t>
      </w:r>
      <w:r w:rsidR="002E1373">
        <w:rPr>
          <w:bCs/>
          <w:sz w:val="20"/>
          <w:szCs w:val="20"/>
        </w:rPr>
        <w:t xml:space="preserve"> </w:t>
      </w:r>
      <w:r w:rsidR="002E1373" w:rsidRPr="002E1373">
        <w:rPr>
          <w:bCs/>
          <w:sz w:val="20"/>
          <w:szCs w:val="20"/>
        </w:rPr>
        <w:t>mechanikai, termodinamikai terhelésnek kitett felületekre (kent szigetelésekre, teraszokra, erkélyekre, fűtött alapfelületekre).</w:t>
      </w:r>
      <w:r w:rsidR="002E1373">
        <w:rPr>
          <w:bCs/>
          <w:sz w:val="20"/>
          <w:szCs w:val="20"/>
        </w:rPr>
        <w:t xml:space="preserve"> </w:t>
      </w:r>
      <w:r w:rsidR="002E1373" w:rsidRPr="002E1373">
        <w:rPr>
          <w:bCs/>
          <w:sz w:val="20"/>
          <w:szCs w:val="20"/>
        </w:rPr>
        <w:t>Alkalmas meglévő burkolatra, csempét csempére történő ragasztásra. Kerámia csempék, mozaikok,</w:t>
      </w:r>
      <w:r w:rsidR="002E1373">
        <w:rPr>
          <w:bCs/>
          <w:sz w:val="20"/>
          <w:szCs w:val="20"/>
        </w:rPr>
        <w:t xml:space="preserve"> </w:t>
      </w:r>
      <w:r w:rsidR="002E1373" w:rsidRPr="002E1373">
        <w:rPr>
          <w:bCs/>
          <w:sz w:val="20"/>
          <w:szCs w:val="20"/>
        </w:rPr>
        <w:t xml:space="preserve">természetes és műkövek, </w:t>
      </w:r>
      <w:proofErr w:type="spellStart"/>
      <w:r w:rsidR="002E1373" w:rsidRPr="002E1373">
        <w:rPr>
          <w:bCs/>
          <w:sz w:val="20"/>
          <w:szCs w:val="20"/>
        </w:rPr>
        <w:t>greslapok</w:t>
      </w:r>
      <w:proofErr w:type="spellEnd"/>
      <w:r w:rsidR="002E1373" w:rsidRPr="002E1373">
        <w:rPr>
          <w:bCs/>
          <w:sz w:val="20"/>
          <w:szCs w:val="20"/>
        </w:rPr>
        <w:t>, finomkőlapok szokásos építőipari alapfelületekre történő ragasztására, bel</w:t>
      </w:r>
      <w:r w:rsidR="004841DA">
        <w:rPr>
          <w:bCs/>
          <w:sz w:val="20"/>
          <w:szCs w:val="20"/>
        </w:rPr>
        <w:t xml:space="preserve"> - </w:t>
      </w:r>
      <w:r w:rsidR="002E1373" w:rsidRPr="002E1373">
        <w:rPr>
          <w:bCs/>
          <w:sz w:val="20"/>
          <w:szCs w:val="20"/>
        </w:rPr>
        <w:t>és</w:t>
      </w:r>
      <w:r w:rsidR="002E1373">
        <w:rPr>
          <w:bCs/>
          <w:sz w:val="20"/>
          <w:szCs w:val="20"/>
        </w:rPr>
        <w:t xml:space="preserve"> </w:t>
      </w:r>
      <w:r w:rsidR="002E1373" w:rsidRPr="002E1373">
        <w:rPr>
          <w:bCs/>
          <w:sz w:val="20"/>
          <w:szCs w:val="20"/>
        </w:rPr>
        <w:t xml:space="preserve">kültérben egyaránt. </w:t>
      </w:r>
      <w:r w:rsidR="00301E62" w:rsidRPr="001A5916">
        <w:rPr>
          <w:bCs/>
          <w:sz w:val="20"/>
          <w:szCs w:val="20"/>
        </w:rPr>
        <w:t xml:space="preserve">Max. </w:t>
      </w:r>
      <w:r w:rsidR="00D156C2">
        <w:rPr>
          <w:bCs/>
          <w:sz w:val="20"/>
          <w:szCs w:val="20"/>
        </w:rPr>
        <w:t>6400</w:t>
      </w:r>
      <w:r w:rsidR="00301E62" w:rsidRPr="001A5916">
        <w:rPr>
          <w:bCs/>
          <w:sz w:val="20"/>
          <w:szCs w:val="20"/>
        </w:rPr>
        <w:t xml:space="preserve"> cm</w:t>
      </w:r>
      <w:r w:rsidR="00301E62">
        <w:rPr>
          <w:bCs/>
          <w:sz w:val="20"/>
          <w:szCs w:val="20"/>
          <w:vertAlign w:val="superscript"/>
        </w:rPr>
        <w:t>2</w:t>
      </w:r>
      <w:r w:rsidR="00301E62" w:rsidRPr="001A5916">
        <w:rPr>
          <w:bCs/>
          <w:sz w:val="20"/>
          <w:szCs w:val="20"/>
        </w:rPr>
        <w:t xml:space="preserve"> lapméretig (</w:t>
      </w:r>
      <w:proofErr w:type="spellStart"/>
      <w:r w:rsidR="00301E62" w:rsidRPr="001A5916">
        <w:rPr>
          <w:bCs/>
          <w:sz w:val="20"/>
          <w:szCs w:val="20"/>
        </w:rPr>
        <w:t>pl</w:t>
      </w:r>
      <w:proofErr w:type="spellEnd"/>
      <w:r w:rsidR="00301E62">
        <w:rPr>
          <w:bCs/>
          <w:sz w:val="20"/>
          <w:szCs w:val="20"/>
        </w:rPr>
        <w:t xml:space="preserve">: </w:t>
      </w:r>
      <w:r w:rsidR="00D156C2">
        <w:rPr>
          <w:bCs/>
          <w:sz w:val="20"/>
          <w:szCs w:val="20"/>
        </w:rPr>
        <w:t>80</w:t>
      </w:r>
      <w:r w:rsidR="00301E62">
        <w:rPr>
          <w:bCs/>
          <w:sz w:val="20"/>
          <w:szCs w:val="20"/>
        </w:rPr>
        <w:t>×</w:t>
      </w:r>
      <w:r w:rsidR="00D156C2">
        <w:rPr>
          <w:bCs/>
          <w:sz w:val="20"/>
          <w:szCs w:val="20"/>
        </w:rPr>
        <w:t>80</w:t>
      </w:r>
      <w:r w:rsidR="00301E62" w:rsidRPr="001A5916">
        <w:rPr>
          <w:bCs/>
          <w:sz w:val="20"/>
          <w:szCs w:val="20"/>
        </w:rPr>
        <w:t>cm).</w:t>
      </w:r>
    </w:p>
    <w:p w14:paraId="6056C7B0" w14:textId="1423FAD1" w:rsidR="005D6E82" w:rsidRPr="001A5916" w:rsidRDefault="005D6E82" w:rsidP="005D6E82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FELHORDHATÓ</w:t>
      </w:r>
      <w:r>
        <w:rPr>
          <w:b/>
          <w:sz w:val="20"/>
          <w:szCs w:val="20"/>
        </w:rPr>
        <w:tab/>
      </w:r>
      <w:r w:rsidR="00FC60FB" w:rsidRPr="00FC60FB">
        <w:rPr>
          <w:bCs/>
          <w:sz w:val="20"/>
          <w:szCs w:val="20"/>
        </w:rPr>
        <w:t xml:space="preserve">Beton, estrich, </w:t>
      </w:r>
      <w:proofErr w:type="spellStart"/>
      <w:r w:rsidR="00FC60FB" w:rsidRPr="00FC60FB">
        <w:rPr>
          <w:bCs/>
          <w:sz w:val="20"/>
          <w:szCs w:val="20"/>
        </w:rPr>
        <w:t>anhidritesztrich</w:t>
      </w:r>
      <w:proofErr w:type="spellEnd"/>
      <w:r w:rsidR="00FC60FB" w:rsidRPr="00FC60FB">
        <w:rPr>
          <w:bCs/>
          <w:sz w:val="20"/>
          <w:szCs w:val="20"/>
        </w:rPr>
        <w:t>, kőműves szerkezetek, mész- cement vakolatok, gipszkarton, gipsz építőelemek.</w:t>
      </w:r>
    </w:p>
    <w:p w14:paraId="3A7F29E0" w14:textId="692432EB" w:rsidR="0067478F" w:rsidRPr="00DA1A1B" w:rsidRDefault="00017660" w:rsidP="00E126C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E126CB" w:rsidRPr="00E126CB">
        <w:rPr>
          <w:bCs/>
          <w:sz w:val="20"/>
          <w:szCs w:val="20"/>
        </w:rPr>
        <w:t>A ragasztási alap por, zsír, olaj és szerves anyag mentes, szilárd, száraz, egyenletes, mozgás- és zsugorodás</w:t>
      </w:r>
      <w:r w:rsidR="00E126CB">
        <w:rPr>
          <w:bCs/>
          <w:sz w:val="20"/>
          <w:szCs w:val="20"/>
        </w:rPr>
        <w:t xml:space="preserve"> </w:t>
      </w:r>
      <w:r w:rsidR="00E126CB" w:rsidRPr="00E126CB">
        <w:rPr>
          <w:bCs/>
          <w:sz w:val="20"/>
          <w:szCs w:val="20"/>
        </w:rPr>
        <w:t>mentes</w:t>
      </w:r>
      <w:r w:rsidR="00E126CB">
        <w:rPr>
          <w:bCs/>
          <w:sz w:val="20"/>
          <w:szCs w:val="20"/>
        </w:rPr>
        <w:t xml:space="preserve"> </w:t>
      </w:r>
      <w:r w:rsidR="00E126CB" w:rsidRPr="00E126CB">
        <w:rPr>
          <w:bCs/>
          <w:sz w:val="20"/>
          <w:szCs w:val="20"/>
        </w:rPr>
        <w:t>legyen. A laza részeket el kell távolítani! Fémre, fára, gipszkartonra és festett felületre nem ajánlott! Padló</w:t>
      </w:r>
      <w:r w:rsidR="00E126CB">
        <w:rPr>
          <w:bCs/>
          <w:sz w:val="20"/>
          <w:szCs w:val="20"/>
        </w:rPr>
        <w:t xml:space="preserve"> </w:t>
      </w:r>
      <w:r w:rsidR="00E126CB" w:rsidRPr="00E126CB">
        <w:rPr>
          <w:bCs/>
          <w:sz w:val="20"/>
          <w:szCs w:val="20"/>
        </w:rPr>
        <w:t>burkolás esetén 3 mm-nél nagyobb felületi egyenetlenségnél javasoljuk burkolás előtt az X-FLOOR aljzatkiegyenlítőink</w:t>
      </w:r>
      <w:r w:rsidR="00E126CB">
        <w:rPr>
          <w:bCs/>
          <w:sz w:val="20"/>
          <w:szCs w:val="20"/>
        </w:rPr>
        <w:t xml:space="preserve"> </w:t>
      </w:r>
      <w:r w:rsidR="00E126CB" w:rsidRPr="00E126CB">
        <w:rPr>
          <w:bCs/>
          <w:sz w:val="20"/>
          <w:szCs w:val="20"/>
        </w:rPr>
        <w:t xml:space="preserve">használatát. Az X-FLOOR aljzatkiegyenlítőkről részletes információt talál a </w:t>
      </w:r>
      <w:hyperlink r:id="rId5" w:history="1">
        <w:r w:rsidR="00D156C2" w:rsidRPr="00FE128F">
          <w:rPr>
            <w:rStyle w:val="Hiperhivatkozs"/>
            <w:bCs/>
            <w:sz w:val="20"/>
            <w:szCs w:val="20"/>
          </w:rPr>
          <w:t>www.meton.hu</w:t>
        </w:r>
      </w:hyperlink>
      <w:r w:rsidR="00E126CB">
        <w:rPr>
          <w:bCs/>
          <w:sz w:val="20"/>
          <w:szCs w:val="20"/>
        </w:rPr>
        <w:t xml:space="preserve"> weboldalon</w:t>
      </w:r>
      <w:r w:rsidR="00E126CB" w:rsidRPr="00E126CB">
        <w:rPr>
          <w:bCs/>
          <w:sz w:val="20"/>
          <w:szCs w:val="20"/>
        </w:rPr>
        <w:t>.</w:t>
      </w:r>
    </w:p>
    <w:p w14:paraId="3B764E57" w14:textId="61269E51" w:rsidR="00F2118D" w:rsidRPr="006647BD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ALAPOZÁS</w:t>
      </w:r>
      <w:r>
        <w:rPr>
          <w:b/>
          <w:sz w:val="20"/>
          <w:szCs w:val="20"/>
        </w:rPr>
        <w:tab/>
      </w:r>
      <w:r w:rsidR="006647BD">
        <w:rPr>
          <w:bCs/>
          <w:sz w:val="20"/>
          <w:szCs w:val="20"/>
        </w:rPr>
        <w:t>GROUND univerzális mélyalapozó használata minden esetben szükséges a megfelelő tapadás elősegítésére. A GROUND</w:t>
      </w:r>
      <w:r w:rsidR="00D156C2">
        <w:rPr>
          <w:bCs/>
          <w:sz w:val="20"/>
          <w:szCs w:val="20"/>
        </w:rPr>
        <w:t xml:space="preserve"> </w:t>
      </w:r>
      <w:r w:rsidR="006647BD">
        <w:rPr>
          <w:bCs/>
          <w:sz w:val="20"/>
          <w:szCs w:val="20"/>
        </w:rPr>
        <w:t xml:space="preserve">univerzális mélyalapozóról részletes információt talál a </w:t>
      </w:r>
      <w:hyperlink r:id="rId6" w:history="1">
        <w:r w:rsidR="00D156C2" w:rsidRPr="00FE128F">
          <w:rPr>
            <w:rStyle w:val="Hiperhivatkozs"/>
            <w:bCs/>
            <w:sz w:val="20"/>
            <w:szCs w:val="20"/>
          </w:rPr>
          <w:t>www.meton.hu</w:t>
        </w:r>
      </w:hyperlink>
      <w:r w:rsidR="008D216E">
        <w:rPr>
          <w:bCs/>
          <w:sz w:val="20"/>
          <w:szCs w:val="20"/>
        </w:rPr>
        <w:t xml:space="preserve"> weboldalon</w:t>
      </w:r>
      <w:r w:rsidR="006647BD">
        <w:rPr>
          <w:bCs/>
          <w:sz w:val="20"/>
          <w:szCs w:val="20"/>
        </w:rPr>
        <w:t>.</w:t>
      </w:r>
    </w:p>
    <w:p w14:paraId="62C611DD" w14:textId="2BE2E19B" w:rsidR="005D6E82" w:rsidRPr="006647BD" w:rsidRDefault="005D6E82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KEVERÉS</w:t>
      </w:r>
      <w:r>
        <w:rPr>
          <w:b/>
          <w:sz w:val="20"/>
          <w:szCs w:val="20"/>
        </w:rPr>
        <w:tab/>
      </w:r>
      <w:r w:rsidR="006647BD">
        <w:rPr>
          <w:bCs/>
          <w:sz w:val="20"/>
          <w:szCs w:val="20"/>
        </w:rPr>
        <w:t>A ragasztót a kimért mennyiségű tiszta vízbe szórjuk és lassú</w:t>
      </w:r>
      <w:r w:rsidR="0086505C">
        <w:rPr>
          <w:bCs/>
          <w:sz w:val="20"/>
          <w:szCs w:val="20"/>
        </w:rPr>
        <w:t xml:space="preserve"> fordulatú gépi keverővel (keverőszár) kb. 3 percen át csomómentesre keverjük, 5-10 percig hagyjuk pihenni, aztán még egyszer keverjük át! Víz ismételt hozzáadásával </w:t>
      </w:r>
      <w:r w:rsidR="00DE606D">
        <w:rPr>
          <w:bCs/>
          <w:sz w:val="20"/>
          <w:szCs w:val="20"/>
        </w:rPr>
        <w:t>újra keverni</w:t>
      </w:r>
      <w:r w:rsidR="0086505C">
        <w:rPr>
          <w:bCs/>
          <w:sz w:val="20"/>
          <w:szCs w:val="20"/>
        </w:rPr>
        <w:t xml:space="preserve"> TILOS! A bekevert anyagot tanácsos 2 órán belül felhasználni.</w:t>
      </w:r>
    </w:p>
    <w:p w14:paraId="44A842E3" w14:textId="0AAAB420" w:rsidR="00F2118D" w:rsidRPr="0086505C" w:rsidRDefault="00F2118D" w:rsidP="00E45D9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FELDOLGOZÁS MÓDJA</w:t>
      </w:r>
      <w:r>
        <w:rPr>
          <w:b/>
          <w:sz w:val="20"/>
          <w:szCs w:val="20"/>
        </w:rPr>
        <w:tab/>
      </w:r>
      <w:r w:rsidR="006D4E2D" w:rsidRPr="006D4E2D">
        <w:rPr>
          <w:bCs/>
          <w:sz w:val="20"/>
          <w:szCs w:val="20"/>
        </w:rPr>
        <w:t>A megfelelően bekevert ragasztót fogazott glettvassal egyenletes rétegvastagságban hordjuk fel a burkolandó felületre és a burkolólapokat ragasztási (nyitott) időn belül, enyhén eltolva, a felületre nyomást gyakorolva helyezzük el. Ragasztóhabarcsos éleket, fugákat nedves szivaccsal azonnal tisztítsuk meg. Az előírt ragasztási időt feltétlenül tartsuk be, túllépése esetén (bőrösödés!) szedjük vissza a felhordott csemperagasztót és pótoljuk újjal. Beltérben alapok felülete minimum 65%-ban érintkezzen a ragasztóággyal, kültérben minimum 90% legyen. Ismeretlen tulajdonságú lapok esetén próbaragasztás feltétlenül javasolt. Kültérben a burkolat lejtése minimum 1%-os kell, hogy legyen, a 30x30 cm-nél nagyobb lapok esetén a nagy víz és mechanikai terhelésnek kitett helyeken kétoldali ragasztás javasolt. A burkolat ragasztása után optimális estben 24–48 óra (20 °C-</w:t>
      </w:r>
      <w:proofErr w:type="spellStart"/>
      <w:r w:rsidR="006D4E2D" w:rsidRPr="006D4E2D">
        <w:rPr>
          <w:bCs/>
          <w:sz w:val="20"/>
          <w:szCs w:val="20"/>
        </w:rPr>
        <w:t>on</w:t>
      </w:r>
      <w:proofErr w:type="spellEnd"/>
      <w:r w:rsidR="006D4E2D" w:rsidRPr="006D4E2D">
        <w:rPr>
          <w:bCs/>
          <w:sz w:val="20"/>
          <w:szCs w:val="20"/>
        </w:rPr>
        <w:t>, 2 mm vastagságban) múlva járható, fugázható. Amennyiben szintezőék használatával történt a burkolás, úgy az ék eltávolítása min 48óra után történhet. Az alkalmazott szerszámokat használat után el kell mosni. A felhordás a fent leírtak figyelembevételével az általános burkolási szakismeretek alapján történhet.</w:t>
      </w:r>
    </w:p>
    <w:p w14:paraId="061ACBCB" w14:textId="5645904A" w:rsidR="00F2118D" w:rsidRPr="00CF544C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bookmarkStart w:id="0" w:name="_Hlk67385735"/>
      <w:r w:rsidR="003B4E54" w:rsidRPr="003B4E54">
        <w:rPr>
          <w:bCs/>
          <w:sz w:val="20"/>
          <w:szCs w:val="20"/>
        </w:rPr>
        <w:t>A munkavégzés ideje és a száradási idő alatt a hőmérséklet +5–+25 °C között legyen.</w:t>
      </w:r>
      <w:bookmarkEnd w:id="0"/>
      <w:r w:rsidR="003B4E54">
        <w:rPr>
          <w:bCs/>
          <w:sz w:val="20"/>
          <w:szCs w:val="20"/>
        </w:rPr>
        <w:t xml:space="preserve"> </w:t>
      </w:r>
      <w:r w:rsidR="00CF544C">
        <w:rPr>
          <w:bCs/>
          <w:sz w:val="20"/>
          <w:szCs w:val="20"/>
        </w:rPr>
        <w:t>A ragasztott burkolatot száradásig nem érheti fagy és tűző napon ne használja. Termékeinkhez a feltüntetett víz mennyiségén kívül más anyagot hozzáadni nem szabad. A rétegvastagság, hőmérséklet és páratartalom befolyásolja a száradási időt. Magas páratartalom és alacsony hőmérséklet késlelteti, magas hőmérséklet gyorsítja a száradási időt.</w:t>
      </w:r>
      <w:r w:rsidR="001A49CA" w:rsidRPr="001A49CA">
        <w:t xml:space="preserve"> </w:t>
      </w:r>
      <w:r w:rsidR="001A49CA" w:rsidRPr="001A49CA">
        <w:rPr>
          <w:bCs/>
          <w:sz w:val="20"/>
          <w:szCs w:val="20"/>
        </w:rPr>
        <w:t xml:space="preserve">Fal és padlófűtés esetén a fűtésrendszert a ragasztó teljes szilárdulásáig </w:t>
      </w:r>
      <w:r w:rsidR="001A49CA">
        <w:rPr>
          <w:bCs/>
          <w:sz w:val="20"/>
          <w:szCs w:val="20"/>
        </w:rPr>
        <w:t>TILOS</w:t>
      </w:r>
      <w:r w:rsidR="001A49CA" w:rsidRPr="001A49CA">
        <w:rPr>
          <w:bCs/>
          <w:sz w:val="20"/>
          <w:szCs w:val="20"/>
        </w:rPr>
        <w:t xml:space="preserve"> üzemeltetni.</w:t>
      </w:r>
      <w:r w:rsidR="003B1623">
        <w:rPr>
          <w:bCs/>
          <w:sz w:val="20"/>
          <w:szCs w:val="20"/>
        </w:rPr>
        <w:t xml:space="preserve"> A termék felhasználása szakértelmet igényel! Kérjük, hogy a tájékoztatóban leírtakat gondosan olvassák át, munkavégzés közben vegyék figyelembe, mert a gyártó csak a technológiai előírásoknak megfelelően, szakember által, az előírt jó minőségű felületre felhordott termékre vállal garanciát! Feltétlenül tartsák be az idevonatkozó szakmai előírásokat! A kivitelezésből, illetve annak körülményeiből (felület, szerszám, </w:t>
      </w:r>
      <w:r w:rsidR="009D71E4">
        <w:rPr>
          <w:bCs/>
          <w:sz w:val="20"/>
          <w:szCs w:val="20"/>
        </w:rPr>
        <w:t>időjárás</w:t>
      </w:r>
      <w:r w:rsidR="003B1623">
        <w:rPr>
          <w:bCs/>
          <w:sz w:val="20"/>
          <w:szCs w:val="20"/>
        </w:rPr>
        <w:t xml:space="preserve"> stb.) hiányosságaiból eredő károkért a felelősség nem a gyártót terheli!</w:t>
      </w:r>
    </w:p>
    <w:p w14:paraId="4D08EF9B" w14:textId="7568BA42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5D6E82">
        <w:rPr>
          <w:b/>
          <w:sz w:val="20"/>
          <w:szCs w:val="20"/>
        </w:rPr>
        <w:t xml:space="preserve"> / </w:t>
      </w:r>
      <w:r w:rsidRPr="00064836">
        <w:rPr>
          <w:b/>
          <w:sz w:val="20"/>
          <w:szCs w:val="20"/>
        </w:rPr>
        <w:t>TERMÉKSZABVÁNY</w:t>
      </w:r>
    </w:p>
    <w:p w14:paraId="4D2D1994" w14:textId="655DF86F" w:rsidR="003B1623" w:rsidRDefault="004D7353" w:rsidP="00470FB5">
      <w:pPr>
        <w:spacing w:line="240" w:lineRule="auto"/>
        <w:ind w:left="2552" w:hanging="2835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="00991FF7" w:rsidRPr="00470FB5">
        <w:rPr>
          <w:bCs/>
          <w:sz w:val="20"/>
          <w:szCs w:val="20"/>
        </w:rPr>
        <w:t>MSZ EN 12004</w:t>
      </w:r>
      <w:r w:rsidR="00991FF7">
        <w:rPr>
          <w:bCs/>
          <w:sz w:val="20"/>
          <w:szCs w:val="20"/>
        </w:rPr>
        <w:t>-1:2017</w:t>
      </w:r>
      <w:r w:rsidR="002E1373">
        <w:rPr>
          <w:bCs/>
          <w:sz w:val="20"/>
          <w:szCs w:val="20"/>
        </w:rPr>
        <w:t xml:space="preserve"> </w:t>
      </w:r>
      <w:r w:rsidR="00470FB5" w:rsidRPr="00470FB5">
        <w:rPr>
          <w:bCs/>
          <w:sz w:val="20"/>
          <w:szCs w:val="20"/>
        </w:rPr>
        <w:t>szerint</w:t>
      </w:r>
      <w:r w:rsidR="00991FF7">
        <w:rPr>
          <w:bCs/>
          <w:sz w:val="20"/>
          <w:szCs w:val="20"/>
        </w:rPr>
        <w:t>:</w:t>
      </w:r>
      <w:r w:rsidR="00470FB5" w:rsidRPr="00470FB5">
        <w:rPr>
          <w:bCs/>
          <w:sz w:val="20"/>
          <w:szCs w:val="20"/>
        </w:rPr>
        <w:t xml:space="preserve"> C</w:t>
      </w:r>
      <w:r w:rsidR="004A71E4">
        <w:rPr>
          <w:bCs/>
          <w:sz w:val="20"/>
          <w:szCs w:val="20"/>
        </w:rPr>
        <w:t>2</w:t>
      </w:r>
      <w:r w:rsidR="00470FB5" w:rsidRPr="00470FB5">
        <w:rPr>
          <w:bCs/>
          <w:sz w:val="20"/>
          <w:szCs w:val="20"/>
        </w:rPr>
        <w:t>T</w:t>
      </w:r>
      <w:r w:rsidR="004A71E4">
        <w:rPr>
          <w:bCs/>
          <w:sz w:val="20"/>
          <w:szCs w:val="20"/>
        </w:rPr>
        <w:t>E</w:t>
      </w:r>
      <w:r w:rsidR="00470FB5" w:rsidRPr="00470FB5">
        <w:rPr>
          <w:bCs/>
          <w:sz w:val="20"/>
          <w:szCs w:val="20"/>
        </w:rPr>
        <w:t>.</w:t>
      </w:r>
    </w:p>
    <w:p w14:paraId="04F3B1F2" w14:textId="3E3AEAEC" w:rsidR="002E1373" w:rsidRPr="00470FB5" w:rsidRDefault="002E1373" w:rsidP="00470FB5">
      <w:pPr>
        <w:spacing w:line="240" w:lineRule="auto"/>
        <w:ind w:left="2552" w:hanging="2835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MSZ EN 12002</w:t>
      </w:r>
      <w:r w:rsidR="00991FF7">
        <w:rPr>
          <w:bCs/>
          <w:sz w:val="20"/>
          <w:szCs w:val="20"/>
        </w:rPr>
        <w:t>:2009</w:t>
      </w:r>
      <w:r>
        <w:rPr>
          <w:bCs/>
          <w:sz w:val="20"/>
          <w:szCs w:val="20"/>
        </w:rPr>
        <w:t xml:space="preserve"> szerint</w:t>
      </w:r>
      <w:r w:rsidR="00991FF7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S1</w:t>
      </w:r>
      <w:r w:rsidR="004841DA">
        <w:rPr>
          <w:bCs/>
          <w:sz w:val="20"/>
          <w:szCs w:val="20"/>
        </w:rPr>
        <w:t>.</w:t>
      </w:r>
    </w:p>
    <w:p w14:paraId="37321343" w14:textId="6A7E7CCE" w:rsidR="0087167D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p w14:paraId="434CFBA0" w14:textId="3B1F0B89" w:rsidR="008046C3" w:rsidRPr="0081455D" w:rsidRDefault="008046C3" w:rsidP="00064836">
      <w:pPr>
        <w:spacing w:line="240" w:lineRule="auto"/>
        <w:ind w:left="2552" w:hanging="255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Anyagigény:</w:t>
      </w:r>
      <w:r w:rsidR="00F272C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552" w:type="dxa"/>
        <w:tblLook w:val="04A0" w:firstRow="1" w:lastRow="0" w:firstColumn="1" w:lastColumn="0" w:noHBand="0" w:noVBand="1"/>
      </w:tblPr>
      <w:tblGrid>
        <w:gridCol w:w="2803"/>
        <w:gridCol w:w="594"/>
        <w:gridCol w:w="567"/>
        <w:gridCol w:w="567"/>
        <w:gridCol w:w="567"/>
      </w:tblGrid>
      <w:tr w:rsidR="0081455D" w:rsidRPr="0081455D" w14:paraId="0545F292" w14:textId="77777777" w:rsidTr="008046C3">
        <w:tc>
          <w:tcPr>
            <w:tcW w:w="2803" w:type="dxa"/>
          </w:tcPr>
          <w:p w14:paraId="72C0B445" w14:textId="18F17A79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proofErr w:type="spellStart"/>
            <w:r w:rsidRPr="0081455D">
              <w:rPr>
                <w:bCs/>
                <w:sz w:val="20"/>
                <w:szCs w:val="20"/>
              </w:rPr>
              <w:t>Glettvas</w:t>
            </w:r>
            <w:proofErr w:type="spellEnd"/>
            <w:r w:rsidRPr="0081455D">
              <w:rPr>
                <w:bCs/>
                <w:sz w:val="20"/>
                <w:szCs w:val="20"/>
              </w:rPr>
              <w:t xml:space="preserve"> fogazat (mm)</w:t>
            </w:r>
          </w:p>
        </w:tc>
        <w:tc>
          <w:tcPr>
            <w:tcW w:w="594" w:type="dxa"/>
          </w:tcPr>
          <w:p w14:paraId="65D09F18" w14:textId="322711BB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F744871" w14:textId="1FDFF3AD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B0BE007" w14:textId="6D93E4EC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19E699A" w14:textId="7DDD37B0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10</w:t>
            </w:r>
          </w:p>
        </w:tc>
      </w:tr>
      <w:tr w:rsidR="0081455D" w:rsidRPr="0081455D" w14:paraId="2D0D3F3E" w14:textId="77777777" w:rsidTr="008046C3">
        <w:tc>
          <w:tcPr>
            <w:tcW w:w="2803" w:type="dxa"/>
          </w:tcPr>
          <w:p w14:paraId="6777724D" w14:textId="3EB49E3B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Anyagigény (kb.) kg/m</w:t>
            </w:r>
            <w:r w:rsidRPr="0081455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4" w:type="dxa"/>
          </w:tcPr>
          <w:p w14:paraId="6C68D4B4" w14:textId="21167ED6" w:rsidR="008046C3" w:rsidRPr="0081455D" w:rsidRDefault="000B2AD9" w:rsidP="00064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14:paraId="0CB4EA57" w14:textId="16D48E48" w:rsidR="008046C3" w:rsidRPr="0081455D" w:rsidRDefault="000B2AD9" w:rsidP="00064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14:paraId="138EC348" w14:textId="04BB38A5" w:rsidR="008046C3" w:rsidRPr="0081455D" w:rsidRDefault="000B2AD9" w:rsidP="00064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567" w:type="dxa"/>
          </w:tcPr>
          <w:p w14:paraId="66E6530E" w14:textId="7AB73CF2" w:rsidR="008046C3" w:rsidRPr="0081455D" w:rsidRDefault="000B2AD9" w:rsidP="00064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</w:tbl>
    <w:p w14:paraId="1186E6B2" w14:textId="2CF46DC8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Az anyagigény tájékoztató jellegű, kis mértékben eltérhet a megadott mennyiségtől, a munkavégzési technológiától és az alap</w:t>
      </w:r>
      <w:r w:rsidR="000B2AD9">
        <w:rPr>
          <w:bCs/>
          <w:sz w:val="20"/>
          <w:szCs w:val="20"/>
        </w:rPr>
        <w:t>felülettől</w:t>
      </w:r>
      <w:r w:rsidRPr="0081455D">
        <w:rPr>
          <w:bCs/>
          <w:sz w:val="20"/>
          <w:szCs w:val="20"/>
        </w:rPr>
        <w:t xml:space="preserve"> függően.</w:t>
      </w:r>
    </w:p>
    <w:p w14:paraId="36FF987D" w14:textId="3C2677F5" w:rsidR="008046C3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Bekeverés</w:t>
      </w:r>
      <w:r w:rsidR="004841DA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~</w:t>
      </w:r>
      <w:r w:rsidR="00470FB5" w:rsidRPr="0081455D">
        <w:rPr>
          <w:bCs/>
          <w:sz w:val="20"/>
          <w:szCs w:val="20"/>
        </w:rPr>
        <w:t>6</w:t>
      </w:r>
      <w:r w:rsidR="00E974E2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l csapvíz 1 zsák</w:t>
      </w:r>
      <w:r w:rsidR="000B2AD9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/</w:t>
      </w:r>
      <w:r w:rsidR="000B2AD9">
        <w:rPr>
          <w:bCs/>
          <w:sz w:val="20"/>
          <w:szCs w:val="20"/>
        </w:rPr>
        <w:t xml:space="preserve"> </w:t>
      </w:r>
      <w:r w:rsidR="00470FB5" w:rsidRPr="0081455D">
        <w:rPr>
          <w:bCs/>
          <w:sz w:val="20"/>
          <w:szCs w:val="20"/>
        </w:rPr>
        <w:t>2</w:t>
      </w:r>
      <w:r w:rsidRPr="0081455D">
        <w:rPr>
          <w:bCs/>
          <w:sz w:val="20"/>
          <w:szCs w:val="20"/>
        </w:rPr>
        <w:t>5kg ragasztó habarcshoz</w:t>
      </w:r>
      <w:r w:rsidR="003B08EF" w:rsidRPr="0081455D">
        <w:rPr>
          <w:bCs/>
          <w:sz w:val="20"/>
          <w:szCs w:val="20"/>
        </w:rPr>
        <w:t>.</w:t>
      </w:r>
    </w:p>
    <w:p w14:paraId="4EDC76C7" w14:textId="305BDBBC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Felhordás eszközei</w:t>
      </w:r>
      <w:r w:rsidR="004841DA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 xml:space="preserve">fogazott </w:t>
      </w:r>
      <w:proofErr w:type="spellStart"/>
      <w:r w:rsidRPr="0081455D">
        <w:rPr>
          <w:bCs/>
          <w:sz w:val="20"/>
          <w:szCs w:val="20"/>
        </w:rPr>
        <w:t>glettvas</w:t>
      </w:r>
      <w:proofErr w:type="spellEnd"/>
      <w:r w:rsidRPr="0081455D">
        <w:rPr>
          <w:bCs/>
          <w:sz w:val="20"/>
          <w:szCs w:val="20"/>
        </w:rPr>
        <w:t xml:space="preserve"> </w:t>
      </w:r>
      <w:r w:rsidR="00734A9D" w:rsidRPr="0081455D">
        <w:rPr>
          <w:bCs/>
          <w:sz w:val="20"/>
          <w:szCs w:val="20"/>
        </w:rPr>
        <w:t>(</w:t>
      </w:r>
      <w:r w:rsidRPr="0081455D">
        <w:rPr>
          <w:bCs/>
          <w:sz w:val="20"/>
          <w:szCs w:val="20"/>
        </w:rPr>
        <w:t>a burkolatnak megfelelő fogazat mérettel</w:t>
      </w:r>
      <w:r w:rsidR="00734A9D" w:rsidRPr="0081455D">
        <w:rPr>
          <w:bCs/>
          <w:sz w:val="20"/>
          <w:szCs w:val="20"/>
        </w:rPr>
        <w:t>)</w:t>
      </w:r>
      <w:r w:rsidRPr="0081455D">
        <w:rPr>
          <w:bCs/>
          <w:sz w:val="20"/>
          <w:szCs w:val="20"/>
        </w:rPr>
        <w:t>.</w:t>
      </w:r>
    </w:p>
    <w:p w14:paraId="7DBB69C1" w14:textId="4F0998E2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Kültéri/beltéri</w:t>
      </w:r>
      <w:r w:rsidR="004841DA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470FB5" w:rsidRPr="00E974E2">
        <w:rPr>
          <w:bCs/>
          <w:sz w:val="20"/>
          <w:szCs w:val="20"/>
        </w:rPr>
        <w:t xml:space="preserve">kültéri és </w:t>
      </w:r>
      <w:r w:rsidRPr="00E974E2">
        <w:rPr>
          <w:bCs/>
          <w:sz w:val="20"/>
          <w:szCs w:val="20"/>
        </w:rPr>
        <w:t>beltéri</w:t>
      </w:r>
      <w:r w:rsidRPr="0081455D">
        <w:rPr>
          <w:bCs/>
          <w:sz w:val="20"/>
          <w:szCs w:val="20"/>
        </w:rPr>
        <w:t xml:space="preserve"> felhasználásra.</w:t>
      </w:r>
    </w:p>
    <w:p w14:paraId="4666C767" w14:textId="42579B39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Hőmérséklet:</w:t>
      </w:r>
      <w:r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+5</w:t>
      </w:r>
      <w:r w:rsidR="000B2AD9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-</w:t>
      </w:r>
      <w:r w:rsidR="000B2AD9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+25°C között</w:t>
      </w:r>
      <w:r w:rsidR="003B08EF" w:rsidRPr="0081455D">
        <w:rPr>
          <w:bCs/>
          <w:sz w:val="20"/>
          <w:szCs w:val="20"/>
        </w:rPr>
        <w:t>.</w:t>
      </w:r>
    </w:p>
    <w:p w14:paraId="34D621C6" w14:textId="3A568FEA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Páratartalom: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 megadott értékek 42% relatív páratartalom mellett 20°C-on értendőek.</w:t>
      </w:r>
    </w:p>
    <w:p w14:paraId="4980C8B3" w14:textId="6EB6787B" w:rsidR="008046C3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Tapadószilárdság: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≥</w:t>
      </w:r>
      <w:r w:rsidR="00E45D96">
        <w:rPr>
          <w:bCs/>
          <w:sz w:val="20"/>
          <w:szCs w:val="20"/>
        </w:rPr>
        <w:t>1,</w:t>
      </w:r>
      <w:r w:rsidR="004A71E4">
        <w:rPr>
          <w:bCs/>
          <w:sz w:val="20"/>
          <w:szCs w:val="20"/>
        </w:rPr>
        <w:t>2</w:t>
      </w:r>
      <w:r w:rsidRPr="0081455D">
        <w:rPr>
          <w:bCs/>
          <w:sz w:val="20"/>
          <w:szCs w:val="20"/>
        </w:rPr>
        <w:t xml:space="preserve"> N/mm</w:t>
      </w:r>
      <w:r w:rsidRPr="0081455D">
        <w:rPr>
          <w:bCs/>
          <w:sz w:val="20"/>
          <w:szCs w:val="20"/>
          <w:vertAlign w:val="superscript"/>
        </w:rPr>
        <w:t>2</w:t>
      </w:r>
      <w:r w:rsidR="003B08EF" w:rsidRPr="0081455D">
        <w:rPr>
          <w:bCs/>
          <w:sz w:val="20"/>
          <w:szCs w:val="20"/>
        </w:rPr>
        <w:t>.</w:t>
      </w:r>
    </w:p>
    <w:p w14:paraId="6938F61A" w14:textId="362D7470" w:rsidR="002E1373" w:rsidRDefault="002E1373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Hajlítószilárdság:</w:t>
      </w:r>
      <w:r>
        <w:rPr>
          <w:bCs/>
          <w:sz w:val="20"/>
          <w:szCs w:val="20"/>
        </w:rPr>
        <w:tab/>
      </w:r>
      <w:r w:rsidRPr="0081455D">
        <w:rPr>
          <w:bCs/>
          <w:sz w:val="20"/>
          <w:szCs w:val="20"/>
        </w:rPr>
        <w:t>≥</w:t>
      </w:r>
      <w:r>
        <w:rPr>
          <w:bCs/>
          <w:sz w:val="20"/>
          <w:szCs w:val="20"/>
        </w:rPr>
        <w:t>3</w:t>
      </w:r>
      <w:r w:rsidRPr="0081455D">
        <w:rPr>
          <w:bCs/>
          <w:sz w:val="20"/>
          <w:szCs w:val="20"/>
        </w:rPr>
        <w:t xml:space="preserve"> N/mm</w:t>
      </w:r>
      <w:r w:rsidRPr="0081455D">
        <w:rPr>
          <w:bCs/>
          <w:sz w:val="20"/>
          <w:szCs w:val="20"/>
          <w:vertAlign w:val="superscript"/>
        </w:rPr>
        <w:t>2</w:t>
      </w:r>
      <w:r w:rsidRPr="0081455D">
        <w:rPr>
          <w:bCs/>
          <w:sz w:val="20"/>
          <w:szCs w:val="20"/>
        </w:rPr>
        <w:t>.</w:t>
      </w:r>
    </w:p>
    <w:p w14:paraId="08D8CE2C" w14:textId="02056CD6" w:rsidR="002E1373" w:rsidRDefault="002E1373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Nyomószilárdság:</w:t>
      </w:r>
      <w:r>
        <w:rPr>
          <w:bCs/>
          <w:sz w:val="20"/>
          <w:szCs w:val="20"/>
        </w:rPr>
        <w:tab/>
      </w:r>
      <w:r w:rsidRPr="0081455D">
        <w:rPr>
          <w:bCs/>
          <w:sz w:val="20"/>
          <w:szCs w:val="20"/>
        </w:rPr>
        <w:t>≥</w:t>
      </w:r>
      <w:r>
        <w:rPr>
          <w:bCs/>
          <w:sz w:val="20"/>
          <w:szCs w:val="20"/>
        </w:rPr>
        <w:t>1,0</w:t>
      </w:r>
      <w:r w:rsidRPr="0081455D">
        <w:rPr>
          <w:bCs/>
          <w:sz w:val="20"/>
          <w:szCs w:val="20"/>
        </w:rPr>
        <w:t xml:space="preserve"> N/mm</w:t>
      </w:r>
      <w:r w:rsidRPr="0081455D">
        <w:rPr>
          <w:bCs/>
          <w:sz w:val="20"/>
          <w:szCs w:val="20"/>
          <w:vertAlign w:val="superscript"/>
        </w:rPr>
        <w:t>2</w:t>
      </w:r>
      <w:r w:rsidRPr="0081455D">
        <w:rPr>
          <w:bCs/>
          <w:sz w:val="20"/>
          <w:szCs w:val="20"/>
        </w:rPr>
        <w:t>.</w:t>
      </w:r>
    </w:p>
    <w:p w14:paraId="252D033E" w14:textId="75532AE2" w:rsidR="00375C4F" w:rsidRPr="0081455D" w:rsidRDefault="00375C4F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Rugalmas alakváltozás:</w:t>
      </w:r>
      <w:r>
        <w:rPr>
          <w:bCs/>
          <w:sz w:val="20"/>
          <w:szCs w:val="20"/>
        </w:rPr>
        <w:tab/>
        <w:t>maximum 2.5mm</w:t>
      </w:r>
      <w:r w:rsidR="004841DA">
        <w:rPr>
          <w:bCs/>
          <w:sz w:val="20"/>
          <w:szCs w:val="20"/>
        </w:rPr>
        <w:t>.</w:t>
      </w:r>
    </w:p>
    <w:p w14:paraId="7A889355" w14:textId="3C638B91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Nyitott idő: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~2 óra</w:t>
      </w:r>
      <w:r w:rsidR="003B08EF" w:rsidRPr="0081455D">
        <w:rPr>
          <w:bCs/>
          <w:sz w:val="20"/>
          <w:szCs w:val="20"/>
        </w:rPr>
        <w:t>.</w:t>
      </w:r>
    </w:p>
    <w:p w14:paraId="4FEFBC3F" w14:textId="59D430DE" w:rsidR="008046C3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proofErr w:type="spellStart"/>
      <w:r w:rsidRPr="0081455D">
        <w:rPr>
          <w:b/>
          <w:sz w:val="20"/>
          <w:szCs w:val="20"/>
        </w:rPr>
        <w:t>Korrigálhatóság</w:t>
      </w:r>
      <w:proofErr w:type="spellEnd"/>
      <w:r w:rsidRPr="0081455D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~5 perc</w:t>
      </w:r>
      <w:r w:rsidR="003B08EF" w:rsidRPr="0081455D">
        <w:rPr>
          <w:bCs/>
          <w:sz w:val="20"/>
          <w:szCs w:val="20"/>
        </w:rPr>
        <w:t>.</w:t>
      </w:r>
    </w:p>
    <w:p w14:paraId="18735A65" w14:textId="23778F8B" w:rsidR="00E45D96" w:rsidRPr="0081455D" w:rsidRDefault="00E45D96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Lecsúszásmentes:</w:t>
      </w:r>
      <w:r>
        <w:rPr>
          <w:bCs/>
          <w:sz w:val="20"/>
          <w:szCs w:val="20"/>
        </w:rPr>
        <w:tab/>
        <w:t>&lt;</w:t>
      </w:r>
      <w:r w:rsidR="004A71E4">
        <w:rPr>
          <w:bCs/>
          <w:sz w:val="20"/>
          <w:szCs w:val="20"/>
        </w:rPr>
        <w:t>0,5</w:t>
      </w:r>
      <w:r>
        <w:rPr>
          <w:bCs/>
          <w:sz w:val="20"/>
          <w:szCs w:val="20"/>
        </w:rPr>
        <w:t xml:space="preserve"> mm.</w:t>
      </w:r>
    </w:p>
    <w:p w14:paraId="57B59CE5" w14:textId="0AB28984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Terhelhetőség: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az elkészült burkolat ~24-48 óráig védjük a mechanikai terheléstől (ne járjunk rajta)</w:t>
      </w:r>
      <w:r w:rsidR="008D41C7" w:rsidRPr="0081455D">
        <w:rPr>
          <w:bCs/>
          <w:sz w:val="20"/>
          <w:szCs w:val="20"/>
        </w:rPr>
        <w:t>, szintezőék használata esetén a szintezőtalp letörése min. 48 óra elteltével történjen.</w:t>
      </w:r>
    </w:p>
    <w:p w14:paraId="78B4C278" w14:textId="5D466F72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Fugázható: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az felületet csak a ragasztóhabarcs teljes száradása után (nedvszívó burkolólapnál legkorábban egy nap múlva) szabad fugázni.</w:t>
      </w:r>
    </w:p>
    <w:p w14:paraId="722E4D31" w14:textId="6715AFD3" w:rsidR="00470FB5" w:rsidRPr="004841DA" w:rsidRDefault="00470FB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Lapméretek:</w:t>
      </w:r>
      <w:r>
        <w:rPr>
          <w:b/>
          <w:sz w:val="20"/>
          <w:szCs w:val="20"/>
        </w:rPr>
        <w:tab/>
      </w:r>
      <w:r w:rsidRPr="00470FB5">
        <w:rPr>
          <w:bCs/>
          <w:sz w:val="20"/>
          <w:szCs w:val="20"/>
        </w:rPr>
        <w:t xml:space="preserve">maximum </w:t>
      </w:r>
      <w:r w:rsidR="00D156C2">
        <w:rPr>
          <w:bCs/>
          <w:sz w:val="20"/>
          <w:szCs w:val="20"/>
        </w:rPr>
        <w:t xml:space="preserve">6400 </w:t>
      </w:r>
      <w:r w:rsidRPr="00470FB5">
        <w:rPr>
          <w:bCs/>
          <w:sz w:val="20"/>
          <w:szCs w:val="20"/>
        </w:rPr>
        <w:t>cm</w:t>
      </w:r>
      <w:r w:rsidRPr="00470FB5">
        <w:rPr>
          <w:bCs/>
          <w:sz w:val="20"/>
          <w:szCs w:val="20"/>
          <w:vertAlign w:val="superscript"/>
        </w:rPr>
        <w:t>2</w:t>
      </w:r>
      <w:r w:rsidR="00301E62">
        <w:rPr>
          <w:bCs/>
          <w:sz w:val="20"/>
          <w:szCs w:val="20"/>
        </w:rPr>
        <w:t xml:space="preserve"> </w:t>
      </w:r>
      <w:r w:rsidR="00301E62" w:rsidRPr="001A5916">
        <w:rPr>
          <w:bCs/>
          <w:sz w:val="20"/>
          <w:szCs w:val="20"/>
        </w:rPr>
        <w:t>(</w:t>
      </w:r>
      <w:proofErr w:type="spellStart"/>
      <w:r w:rsidR="00301E62" w:rsidRPr="001A5916">
        <w:rPr>
          <w:bCs/>
          <w:sz w:val="20"/>
          <w:szCs w:val="20"/>
        </w:rPr>
        <w:t>pl</w:t>
      </w:r>
      <w:proofErr w:type="spellEnd"/>
      <w:r w:rsidR="00301E62">
        <w:rPr>
          <w:bCs/>
          <w:sz w:val="20"/>
          <w:szCs w:val="20"/>
        </w:rPr>
        <w:t xml:space="preserve">: </w:t>
      </w:r>
      <w:r w:rsidR="00D156C2">
        <w:rPr>
          <w:bCs/>
          <w:sz w:val="20"/>
          <w:szCs w:val="20"/>
        </w:rPr>
        <w:t>80</w:t>
      </w:r>
      <w:r w:rsidR="00301E62">
        <w:rPr>
          <w:bCs/>
          <w:sz w:val="20"/>
          <w:szCs w:val="20"/>
        </w:rPr>
        <w:t>×</w:t>
      </w:r>
      <w:r w:rsidR="00D156C2">
        <w:rPr>
          <w:bCs/>
          <w:sz w:val="20"/>
          <w:szCs w:val="20"/>
        </w:rPr>
        <w:t>80</w:t>
      </w:r>
      <w:r w:rsidR="00301E62" w:rsidRPr="001A5916">
        <w:rPr>
          <w:bCs/>
          <w:sz w:val="20"/>
          <w:szCs w:val="20"/>
        </w:rPr>
        <w:t>cm</w:t>
      </w:r>
      <w:r w:rsidR="00301E62">
        <w:rPr>
          <w:bCs/>
          <w:sz w:val="20"/>
          <w:szCs w:val="20"/>
        </w:rPr>
        <w:t>).</w:t>
      </w:r>
    </w:p>
    <w:p w14:paraId="2B912B68" w14:textId="2F9D0CC7" w:rsidR="008046C3" w:rsidRPr="00470FB5" w:rsidRDefault="008046C3" w:rsidP="00A80433">
      <w:pPr>
        <w:spacing w:line="240" w:lineRule="auto"/>
        <w:ind w:left="2552" w:hanging="2552"/>
        <w:rPr>
          <w:bCs/>
          <w:sz w:val="20"/>
          <w:szCs w:val="20"/>
        </w:rPr>
      </w:pPr>
      <w:r w:rsidRPr="00470FB5">
        <w:rPr>
          <w:b/>
          <w:sz w:val="20"/>
          <w:szCs w:val="20"/>
        </w:rPr>
        <w:t>Tűzvédelmi besorolás:</w:t>
      </w:r>
      <w:r w:rsidRPr="00470FB5">
        <w:rPr>
          <w:b/>
          <w:sz w:val="20"/>
          <w:szCs w:val="20"/>
        </w:rPr>
        <w:tab/>
      </w:r>
      <w:r w:rsidR="00734A9D" w:rsidRPr="00470FB5">
        <w:rPr>
          <w:bCs/>
          <w:sz w:val="20"/>
          <w:szCs w:val="20"/>
        </w:rPr>
        <w:t>A1.</w:t>
      </w:r>
    </w:p>
    <w:p w14:paraId="33E70E03" w14:textId="19C754E3" w:rsidR="004D7353" w:rsidRPr="001C1D88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470FB5" w:rsidRPr="00470FB5">
        <w:rPr>
          <w:bCs/>
          <w:sz w:val="20"/>
          <w:szCs w:val="20"/>
        </w:rPr>
        <w:t>25kg</w:t>
      </w:r>
      <w:r w:rsidR="00470FB5">
        <w:rPr>
          <w:bCs/>
          <w:sz w:val="20"/>
          <w:szCs w:val="20"/>
        </w:rPr>
        <w:t>,</w:t>
      </w:r>
      <w:r w:rsidR="00470FB5" w:rsidRPr="00470FB5">
        <w:rPr>
          <w:bCs/>
          <w:sz w:val="20"/>
          <w:szCs w:val="20"/>
        </w:rPr>
        <w:t xml:space="preserve"> papírzsákban</w:t>
      </w:r>
      <w:r w:rsidR="001C1D88" w:rsidRPr="00470FB5">
        <w:rPr>
          <w:bCs/>
          <w:sz w:val="20"/>
          <w:szCs w:val="20"/>
        </w:rPr>
        <w:t>.</w:t>
      </w:r>
    </w:p>
    <w:p w14:paraId="42115824" w14:textId="4B7235DF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796275">
        <w:rPr>
          <w:bCs/>
          <w:sz w:val="20"/>
          <w:szCs w:val="20"/>
        </w:rPr>
        <w:t>Zárt, fagymentes helyen, nedvességtől, sugárzó hőtől, tűző naptól védve, bontatlan csomagolásban, a csomagoláson jelzett dátumtól 1 évig (+5-+25°C között)</w:t>
      </w:r>
      <w:r w:rsidR="004841DA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0233C"/>
    <w:rsid w:val="0001681F"/>
    <w:rsid w:val="00017660"/>
    <w:rsid w:val="00064836"/>
    <w:rsid w:val="00085BC8"/>
    <w:rsid w:val="000B2AD9"/>
    <w:rsid w:val="000C3F46"/>
    <w:rsid w:val="000E4CB0"/>
    <w:rsid w:val="000F5E1F"/>
    <w:rsid w:val="0012202C"/>
    <w:rsid w:val="0013594E"/>
    <w:rsid w:val="00137067"/>
    <w:rsid w:val="00163825"/>
    <w:rsid w:val="00177D1E"/>
    <w:rsid w:val="00181BF7"/>
    <w:rsid w:val="00185A68"/>
    <w:rsid w:val="001A49CA"/>
    <w:rsid w:val="001A5916"/>
    <w:rsid w:val="001C1D88"/>
    <w:rsid w:val="00222F1A"/>
    <w:rsid w:val="002240EF"/>
    <w:rsid w:val="002E1373"/>
    <w:rsid w:val="00301A3D"/>
    <w:rsid w:val="00301E62"/>
    <w:rsid w:val="003039B8"/>
    <w:rsid w:val="003059A0"/>
    <w:rsid w:val="00373D3A"/>
    <w:rsid w:val="00375C4F"/>
    <w:rsid w:val="0038589C"/>
    <w:rsid w:val="00387C69"/>
    <w:rsid w:val="003A0283"/>
    <w:rsid w:val="003A1EB3"/>
    <w:rsid w:val="003B08EF"/>
    <w:rsid w:val="003B1623"/>
    <w:rsid w:val="003B4E54"/>
    <w:rsid w:val="00401E5E"/>
    <w:rsid w:val="004178B3"/>
    <w:rsid w:val="00443260"/>
    <w:rsid w:val="00443481"/>
    <w:rsid w:val="004618A6"/>
    <w:rsid w:val="00470FB5"/>
    <w:rsid w:val="00477445"/>
    <w:rsid w:val="004841DA"/>
    <w:rsid w:val="004A71E4"/>
    <w:rsid w:val="004D279A"/>
    <w:rsid w:val="004D7353"/>
    <w:rsid w:val="004E403C"/>
    <w:rsid w:val="004E6F48"/>
    <w:rsid w:val="0051793A"/>
    <w:rsid w:val="00566CCF"/>
    <w:rsid w:val="005862CF"/>
    <w:rsid w:val="005A355E"/>
    <w:rsid w:val="005B185B"/>
    <w:rsid w:val="005D6E82"/>
    <w:rsid w:val="005F2044"/>
    <w:rsid w:val="00610AAF"/>
    <w:rsid w:val="0061357E"/>
    <w:rsid w:val="00642CB4"/>
    <w:rsid w:val="00642E5C"/>
    <w:rsid w:val="006647BD"/>
    <w:rsid w:val="0067478F"/>
    <w:rsid w:val="0068630E"/>
    <w:rsid w:val="006C5B52"/>
    <w:rsid w:val="006D4E2D"/>
    <w:rsid w:val="00733C76"/>
    <w:rsid w:val="00734A9D"/>
    <w:rsid w:val="0074379A"/>
    <w:rsid w:val="00745BA5"/>
    <w:rsid w:val="0076535A"/>
    <w:rsid w:val="00796275"/>
    <w:rsid w:val="007D3D1C"/>
    <w:rsid w:val="007E49F6"/>
    <w:rsid w:val="00800888"/>
    <w:rsid w:val="008046C3"/>
    <w:rsid w:val="0081040F"/>
    <w:rsid w:val="0081455D"/>
    <w:rsid w:val="008438E7"/>
    <w:rsid w:val="0086505C"/>
    <w:rsid w:val="0087167D"/>
    <w:rsid w:val="00896E63"/>
    <w:rsid w:val="008D216E"/>
    <w:rsid w:val="008D41C7"/>
    <w:rsid w:val="008D75E1"/>
    <w:rsid w:val="00950EE0"/>
    <w:rsid w:val="00952336"/>
    <w:rsid w:val="009867DD"/>
    <w:rsid w:val="00991FF7"/>
    <w:rsid w:val="009B6CA9"/>
    <w:rsid w:val="009D71E4"/>
    <w:rsid w:val="009E3DDF"/>
    <w:rsid w:val="00A80433"/>
    <w:rsid w:val="00AA7509"/>
    <w:rsid w:val="00AB2941"/>
    <w:rsid w:val="00AC35EF"/>
    <w:rsid w:val="00AD2B2D"/>
    <w:rsid w:val="00AE746A"/>
    <w:rsid w:val="00B05FA5"/>
    <w:rsid w:val="00B21187"/>
    <w:rsid w:val="00B470D5"/>
    <w:rsid w:val="00B83295"/>
    <w:rsid w:val="00BD3ADC"/>
    <w:rsid w:val="00BF7DA2"/>
    <w:rsid w:val="00C147CA"/>
    <w:rsid w:val="00C339B7"/>
    <w:rsid w:val="00C373CA"/>
    <w:rsid w:val="00C56233"/>
    <w:rsid w:val="00C74D3F"/>
    <w:rsid w:val="00CB0D0D"/>
    <w:rsid w:val="00CF544C"/>
    <w:rsid w:val="00D156C2"/>
    <w:rsid w:val="00D32BAD"/>
    <w:rsid w:val="00D40AE9"/>
    <w:rsid w:val="00D53C70"/>
    <w:rsid w:val="00DA1A1B"/>
    <w:rsid w:val="00DA759C"/>
    <w:rsid w:val="00DE34C2"/>
    <w:rsid w:val="00DE606D"/>
    <w:rsid w:val="00E126CB"/>
    <w:rsid w:val="00E45D96"/>
    <w:rsid w:val="00E82BFC"/>
    <w:rsid w:val="00E974E2"/>
    <w:rsid w:val="00EB7D3A"/>
    <w:rsid w:val="00EE14AF"/>
    <w:rsid w:val="00F2118D"/>
    <w:rsid w:val="00F272C6"/>
    <w:rsid w:val="00FA2845"/>
    <w:rsid w:val="00FC60FB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5F7B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D216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n.hu" TargetMode="External"/><Relationship Id="rId5" Type="http://schemas.openxmlformats.org/officeDocument/2006/relationships/hyperlink" Target="http://www.met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6665-5F3B-42BD-931D-3953A638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744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11</cp:revision>
  <cp:lastPrinted>2020-11-27T09:06:00Z</cp:lastPrinted>
  <dcterms:created xsi:type="dcterms:W3CDTF">2021-03-23T10:30:00Z</dcterms:created>
  <dcterms:modified xsi:type="dcterms:W3CDTF">2022-08-25T11:52:00Z</dcterms:modified>
</cp:coreProperties>
</file>