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57E4" w14:textId="49E7CBD4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B20425">
        <w:rPr>
          <w:b/>
        </w:rPr>
        <w:t>Texturato védőbevonat</w:t>
      </w:r>
    </w:p>
    <w:p w14:paraId="5EF2BEFC" w14:textId="4A8DB007" w:rsidR="00BA0121" w:rsidRPr="003F5A2E" w:rsidRDefault="005862CF" w:rsidP="007B0C57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7B0C57" w:rsidRPr="007B0C57">
        <w:rPr>
          <w:bCs/>
          <w:sz w:val="20"/>
          <w:szCs w:val="20"/>
        </w:rPr>
        <w:t>A bevonó anyag hosszabbítja a kényes színű homlokzati vakolatok, illetve homlokzati falfestékek színtartósságát</w:t>
      </w:r>
      <w:r w:rsidR="007B0C57">
        <w:rPr>
          <w:bCs/>
          <w:sz w:val="20"/>
          <w:szCs w:val="20"/>
        </w:rPr>
        <w:t xml:space="preserve"> </w:t>
      </w:r>
      <w:r w:rsidR="007B0C57" w:rsidRPr="007B0C57">
        <w:rPr>
          <w:bCs/>
          <w:sz w:val="20"/>
          <w:szCs w:val="20"/>
        </w:rPr>
        <w:t>a tűző nap és az egyre intenzívebb UV sugárzással szemben. Ezért új épületek homlokzatára is már közvetlenül</w:t>
      </w:r>
      <w:r w:rsidR="007B0C57">
        <w:rPr>
          <w:bCs/>
          <w:sz w:val="20"/>
          <w:szCs w:val="20"/>
        </w:rPr>
        <w:t xml:space="preserve"> </w:t>
      </w:r>
      <w:r w:rsidR="007B0C57" w:rsidRPr="007B0C57">
        <w:rPr>
          <w:bCs/>
          <w:sz w:val="20"/>
          <w:szCs w:val="20"/>
        </w:rPr>
        <w:t>a színezőanyag száradása után felhordható az azonnali védelem érdekében. Régi homlokzatok tompa, UV sugárzástól</w:t>
      </w:r>
      <w:r w:rsidR="007B0C57">
        <w:rPr>
          <w:bCs/>
          <w:sz w:val="20"/>
          <w:szCs w:val="20"/>
        </w:rPr>
        <w:t xml:space="preserve"> </w:t>
      </w:r>
      <w:r w:rsidR="007B0C57" w:rsidRPr="007B0C57">
        <w:rPr>
          <w:bCs/>
          <w:sz w:val="20"/>
          <w:szCs w:val="20"/>
        </w:rPr>
        <w:t>meggyengült színei a PROTECT COLOR bevonó anyag felhordása után nagymértékben visszanyerik</w:t>
      </w:r>
      <w:r w:rsidR="007B0C57">
        <w:rPr>
          <w:bCs/>
          <w:sz w:val="20"/>
          <w:szCs w:val="20"/>
        </w:rPr>
        <w:t xml:space="preserve"> </w:t>
      </w:r>
      <w:r w:rsidR="007B0C57" w:rsidRPr="007B0C57">
        <w:rPr>
          <w:bCs/>
          <w:sz w:val="20"/>
          <w:szCs w:val="20"/>
        </w:rPr>
        <w:t>eredeti színeiket. Az UV védelem mellett impregnálja, megerősíti a felületet, vízleperget</w:t>
      </w:r>
      <w:r w:rsidR="007B0C57">
        <w:rPr>
          <w:bCs/>
          <w:sz w:val="20"/>
          <w:szCs w:val="20"/>
        </w:rPr>
        <w:t>ő</w:t>
      </w:r>
      <w:r w:rsidR="007B0C57" w:rsidRPr="007B0C57">
        <w:rPr>
          <w:bCs/>
          <w:sz w:val="20"/>
          <w:szCs w:val="20"/>
        </w:rPr>
        <w:t xml:space="preserve"> hatású és kiváló öntisztuló</w:t>
      </w:r>
      <w:r w:rsidR="007B0C57">
        <w:rPr>
          <w:bCs/>
          <w:sz w:val="20"/>
          <w:szCs w:val="20"/>
        </w:rPr>
        <w:t xml:space="preserve"> </w:t>
      </w:r>
      <w:r w:rsidR="007B0C57" w:rsidRPr="007B0C57">
        <w:rPr>
          <w:bCs/>
          <w:sz w:val="20"/>
          <w:szCs w:val="20"/>
        </w:rPr>
        <w:t>felületet képez! Német laborban, német precizitással, kiváló fejlesztési technológiai háttérrel, beszállítóinkkal</w:t>
      </w:r>
      <w:r w:rsidR="007B0C57">
        <w:rPr>
          <w:bCs/>
          <w:sz w:val="20"/>
          <w:szCs w:val="20"/>
        </w:rPr>
        <w:t xml:space="preserve"> </w:t>
      </w:r>
      <w:r w:rsidR="007B0C57" w:rsidRPr="007B0C57">
        <w:rPr>
          <w:bCs/>
          <w:sz w:val="20"/>
          <w:szCs w:val="20"/>
        </w:rPr>
        <w:t xml:space="preserve">közösen fejlesztettük ki a </w:t>
      </w:r>
      <w:r w:rsidR="00B20425">
        <w:rPr>
          <w:bCs/>
          <w:sz w:val="20"/>
          <w:szCs w:val="20"/>
        </w:rPr>
        <w:t>TEXTURATO védőbevonat</w:t>
      </w:r>
      <w:r w:rsidR="007B0C57" w:rsidRPr="007B0C57">
        <w:rPr>
          <w:bCs/>
          <w:sz w:val="20"/>
          <w:szCs w:val="20"/>
        </w:rPr>
        <w:t xml:space="preserve"> anyagot. Fontos tudnivaló: Az extra erős UV sugárzás nem</w:t>
      </w:r>
      <w:r w:rsidR="007B0C57">
        <w:rPr>
          <w:bCs/>
          <w:sz w:val="20"/>
          <w:szCs w:val="20"/>
        </w:rPr>
        <w:t xml:space="preserve"> </w:t>
      </w:r>
      <w:r w:rsidR="007B0C57" w:rsidRPr="007B0C57">
        <w:rPr>
          <w:bCs/>
          <w:sz w:val="20"/>
          <w:szCs w:val="20"/>
        </w:rPr>
        <w:t>kizárólag az élőlényekre káros, hanem az épületeink napfénynek kitett felületeire is. (továbbá tetők, homlokzatok,</w:t>
      </w:r>
      <w:r w:rsidR="007B0C57">
        <w:rPr>
          <w:bCs/>
          <w:sz w:val="20"/>
          <w:szCs w:val="20"/>
        </w:rPr>
        <w:t xml:space="preserve"> </w:t>
      </w:r>
      <w:r w:rsidR="007B0C57" w:rsidRPr="007B0C57">
        <w:rPr>
          <w:bCs/>
          <w:sz w:val="20"/>
          <w:szCs w:val="20"/>
        </w:rPr>
        <w:t xml:space="preserve">nyílás zárók, burkolatok, kerti </w:t>
      </w:r>
      <w:r w:rsidR="008C7536" w:rsidRPr="007B0C57">
        <w:rPr>
          <w:bCs/>
          <w:sz w:val="20"/>
          <w:szCs w:val="20"/>
        </w:rPr>
        <w:t>bútorok</w:t>
      </w:r>
      <w:r w:rsidR="007B0C57" w:rsidRPr="007B0C57">
        <w:rPr>
          <w:bCs/>
          <w:sz w:val="20"/>
          <w:szCs w:val="20"/>
        </w:rPr>
        <w:t xml:space="preserve"> stb.) Az UV ártalom több módon is megmutatkozik, pl. szín elvesztése,</w:t>
      </w:r>
      <w:r w:rsidR="007B0C57">
        <w:rPr>
          <w:bCs/>
          <w:sz w:val="20"/>
          <w:szCs w:val="20"/>
        </w:rPr>
        <w:t xml:space="preserve"> </w:t>
      </w:r>
      <w:r w:rsidR="007B0C57" w:rsidRPr="007B0C57">
        <w:rPr>
          <w:bCs/>
          <w:sz w:val="20"/>
          <w:szCs w:val="20"/>
        </w:rPr>
        <w:t>anyag gyengülése, felületi és szerkezeti sérülések, szigetelő képesség romlása, rövidebb élettartam.</w:t>
      </w:r>
    </w:p>
    <w:p w14:paraId="2195BED0" w14:textId="77777777" w:rsidR="00BE60CC" w:rsidRDefault="005862CF" w:rsidP="007B0C57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7B0C57">
        <w:rPr>
          <w:bCs/>
          <w:sz w:val="20"/>
          <w:szCs w:val="20"/>
        </w:rPr>
        <w:t xml:space="preserve">ÚJ </w:t>
      </w:r>
      <w:r w:rsidR="007B0C57" w:rsidRPr="007B0C57">
        <w:rPr>
          <w:bCs/>
          <w:sz w:val="20"/>
          <w:szCs w:val="20"/>
        </w:rPr>
        <w:t>és</w:t>
      </w:r>
      <w:r w:rsidR="007B0C57">
        <w:rPr>
          <w:bCs/>
          <w:sz w:val="20"/>
          <w:szCs w:val="20"/>
        </w:rPr>
        <w:t xml:space="preserve"> régi </w:t>
      </w:r>
      <w:r w:rsidR="007B0C57" w:rsidRPr="007B0C57">
        <w:rPr>
          <w:bCs/>
          <w:sz w:val="20"/>
          <w:szCs w:val="20"/>
        </w:rPr>
        <w:t>épületeknél homlokzati vakolatok (zsákos</w:t>
      </w:r>
      <w:r w:rsidR="007B0C57">
        <w:rPr>
          <w:bCs/>
          <w:sz w:val="20"/>
          <w:szCs w:val="20"/>
        </w:rPr>
        <w:t>,</w:t>
      </w:r>
      <w:r w:rsidR="007B0C57" w:rsidRPr="007B0C57">
        <w:rPr>
          <w:bCs/>
          <w:sz w:val="20"/>
          <w:szCs w:val="20"/>
        </w:rPr>
        <w:t xml:space="preserve"> akril</w:t>
      </w:r>
      <w:r w:rsidR="007B0C57">
        <w:rPr>
          <w:bCs/>
          <w:sz w:val="20"/>
          <w:szCs w:val="20"/>
        </w:rPr>
        <w:t xml:space="preserve"> és szilikon</w:t>
      </w:r>
      <w:r w:rsidR="007B0C57" w:rsidRPr="007B0C57">
        <w:rPr>
          <w:bCs/>
          <w:sz w:val="20"/>
          <w:szCs w:val="20"/>
        </w:rPr>
        <w:t xml:space="preserve"> bázisú), lábazati vakolatok, homlokzati falfestékek</w:t>
      </w:r>
      <w:r w:rsidR="007B0C57">
        <w:rPr>
          <w:bCs/>
          <w:sz w:val="20"/>
          <w:szCs w:val="20"/>
        </w:rPr>
        <w:t xml:space="preserve"> </w:t>
      </w:r>
      <w:r w:rsidR="007B0C57" w:rsidRPr="007B0C57">
        <w:rPr>
          <w:bCs/>
          <w:sz w:val="20"/>
          <w:szCs w:val="20"/>
        </w:rPr>
        <w:t>utólagos felületi kezelésére.</w:t>
      </w:r>
    </w:p>
    <w:p w14:paraId="08C5EF4F" w14:textId="77777777" w:rsidR="0067478F" w:rsidRPr="00673522" w:rsidRDefault="00017660" w:rsidP="00BE60CC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BE60CC" w:rsidRPr="00BE60CC">
        <w:rPr>
          <w:sz w:val="20"/>
          <w:szCs w:val="20"/>
        </w:rPr>
        <w:t>Az alapfelület szilárd, por- és szennyeződésmentes, valamint teljes rétegvastagságában száraz legyen. A felület</w:t>
      </w:r>
      <w:r w:rsidR="00BE60CC">
        <w:rPr>
          <w:sz w:val="20"/>
          <w:szCs w:val="20"/>
        </w:rPr>
        <w:t xml:space="preserve"> </w:t>
      </w:r>
      <w:r w:rsidR="00BE60CC" w:rsidRPr="00BE60CC">
        <w:rPr>
          <w:sz w:val="20"/>
          <w:szCs w:val="20"/>
        </w:rPr>
        <w:t>legyen sík, homogén, sérülésmentes</w:t>
      </w:r>
      <w:r w:rsidR="007B0C57">
        <w:rPr>
          <w:sz w:val="20"/>
          <w:szCs w:val="20"/>
        </w:rPr>
        <w:t>.</w:t>
      </w:r>
    </w:p>
    <w:p w14:paraId="2C7A5097" w14:textId="77777777" w:rsidR="00525ED4" w:rsidRPr="00525ED4" w:rsidRDefault="00525ED4" w:rsidP="00A0177D">
      <w:pPr>
        <w:spacing w:line="240" w:lineRule="auto"/>
        <w:ind w:left="2552" w:hanging="2552"/>
        <w:jc w:val="both"/>
        <w:rPr>
          <w:b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A0177D" w:rsidRPr="00A0177D">
        <w:rPr>
          <w:bCs/>
          <w:sz w:val="20"/>
          <w:szCs w:val="20"/>
        </w:rPr>
        <w:t xml:space="preserve">A bevonó anyagot mindig száraz, tiszta, pormentes felületre kell felhordani 2 rétegben. A 2 réteg között +20 °C felületi és léghőmérséklet esetén minimum 4 óra száradási időt kell biztosítani. Nedves, párás, csapadékos időben a bevonó anyagot nem szabad felhasználni. Felhordás után legalább 24 órán át védeni kell a csapadéktól, illetve nedvességtől. A felhordás és száradási idő alatt a felületi és léghőmérséklet 10 °C alá nem süllyedhet. </w:t>
      </w:r>
      <w:r w:rsidR="00353847" w:rsidRPr="00A0177D">
        <w:rPr>
          <w:bCs/>
          <w:sz w:val="20"/>
          <w:szCs w:val="20"/>
        </w:rPr>
        <w:t>Termékeinkhez színezőanyagot, vagy más egyéb anyagot (a feltüntetett víz mennyiségén kívül), házilag hozzáadni nem szabad! Többletanyag felhordása és eldolgozása strukturális különbséget okoz.</w:t>
      </w:r>
    </w:p>
    <w:p w14:paraId="6B726EBE" w14:textId="30CB99EB" w:rsidR="00D16F84" w:rsidRPr="00D91CA0" w:rsidRDefault="00F2118D" w:rsidP="00A0177D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A0177D" w:rsidRPr="00D91CA0">
        <w:rPr>
          <w:bCs/>
          <w:sz w:val="20"/>
          <w:szCs w:val="20"/>
        </w:rPr>
        <w:t xml:space="preserve">A bevonó anyagba idegen anyagot belekeverni tilos! A </w:t>
      </w:r>
      <w:r w:rsidR="00B20425">
        <w:rPr>
          <w:bCs/>
          <w:sz w:val="20"/>
          <w:szCs w:val="20"/>
        </w:rPr>
        <w:t>TEXTURATO védőbevonat</w:t>
      </w:r>
      <w:r w:rsidR="00A0177D" w:rsidRPr="00D91CA0">
        <w:rPr>
          <w:bCs/>
          <w:sz w:val="20"/>
          <w:szCs w:val="20"/>
        </w:rPr>
        <w:t xml:space="preserve"> teljes felületre történő felhordása előtt javasolt felület próbát végezni! A rétegvastagság, hőmérséklet és a páratartalom befolyásolja a száradási időt. Magas páratartalom és alacsony hőmérséklet késlelteti, magas hőmérséklet gyorsítja a kötést és a száradást. A termék felhasználása szakértelmet igényel! Kérjük, hogy a tájékoztatóban leírtakat gondosan olvassák át, munkavégzés közben vegyék figyelembe, mert a gyártó csak a technológiai előírásoknak megfelelően, szakember által, az előírt jó minőségű felületre felhordott termékre vállal garanciát! Feltétlenül tartsák be az idevonatkozó szakmai előírásokat! A kivitelezésből, illetve annak körülményeiből (felület, szerszám, időjárás stb.), hiányosságaiból eredő károkért a felelősség nem a gyártót terheli</w:t>
      </w:r>
      <w:r w:rsidR="00D91CA0" w:rsidRPr="00D91CA0">
        <w:rPr>
          <w:bCs/>
          <w:sz w:val="20"/>
          <w:szCs w:val="20"/>
        </w:rPr>
        <w:t xml:space="preserve"> </w:t>
      </w:r>
    </w:p>
    <w:p w14:paraId="200F7094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0B5E937E" w14:textId="77777777" w:rsidR="004D7353" w:rsidRPr="00994F74" w:rsidRDefault="004D7353" w:rsidP="00D91CA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7F728A" w:rsidRPr="007F728A">
        <w:rPr>
          <w:bCs/>
          <w:sz w:val="20"/>
          <w:szCs w:val="20"/>
        </w:rPr>
        <w:t xml:space="preserve">MSZ EN </w:t>
      </w:r>
      <w:r w:rsidR="00D91CA0">
        <w:rPr>
          <w:bCs/>
          <w:sz w:val="20"/>
          <w:szCs w:val="20"/>
        </w:rPr>
        <w:t>1062-1</w:t>
      </w:r>
      <w:r w:rsidR="00754F93">
        <w:rPr>
          <w:bCs/>
          <w:sz w:val="20"/>
          <w:szCs w:val="20"/>
        </w:rPr>
        <w:t>:2004.</w:t>
      </w:r>
    </w:p>
    <w:p w14:paraId="464D0551" w14:textId="77777777" w:rsidR="0087167D" w:rsidRPr="00064836" w:rsidRDefault="004D7353" w:rsidP="00064836">
      <w:pPr>
        <w:spacing w:line="240" w:lineRule="auto"/>
        <w:ind w:left="2552" w:hanging="2552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52921162" w14:textId="77777777" w:rsidTr="0087167D">
        <w:tc>
          <w:tcPr>
            <w:tcW w:w="2113" w:type="dxa"/>
          </w:tcPr>
          <w:p w14:paraId="13D1C547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189E7E4" w14:textId="77777777" w:rsidR="0087167D" w:rsidRPr="00C147CA" w:rsidRDefault="00D91CA0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~0,1 l/m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/réteg.</w:t>
            </w:r>
            <w:r w:rsidR="00C714D8">
              <w:rPr>
                <w:bCs/>
                <w:sz w:val="20"/>
                <w:szCs w:val="20"/>
              </w:rPr>
              <w:br/>
            </w:r>
            <w:r w:rsidR="0087167D" w:rsidRPr="00C147CA">
              <w:rPr>
                <w:bCs/>
                <w:sz w:val="20"/>
                <w:szCs w:val="20"/>
              </w:rPr>
              <w:t>Az anyagigény tájékoztató jellegű, kis mértékben eltérhet a megadott mennyiségtől, a munkavégzési technológiától és az alaptól függően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EA0E713" w14:textId="77777777" w:rsidTr="0087167D">
        <w:tc>
          <w:tcPr>
            <w:tcW w:w="2113" w:type="dxa"/>
          </w:tcPr>
          <w:p w14:paraId="48B1CAAC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Hígítás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7B8FBCD" w14:textId="77777777" w:rsidR="0087167D" w:rsidRPr="001302E6" w:rsidRDefault="004F04D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nem hígítható!</w:t>
            </w:r>
          </w:p>
        </w:tc>
      </w:tr>
      <w:tr w:rsidR="0087167D" w14:paraId="3985685C" w14:textId="77777777" w:rsidTr="0087167D">
        <w:tc>
          <w:tcPr>
            <w:tcW w:w="2113" w:type="dxa"/>
          </w:tcPr>
          <w:p w14:paraId="3DCDAA8E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614DD95" w14:textId="77777777" w:rsidR="0087167D" w:rsidRPr="00C147CA" w:rsidRDefault="004F04D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ecset, henger, szórópisztoly.</w:t>
            </w:r>
          </w:p>
        </w:tc>
      </w:tr>
      <w:tr w:rsidR="0087167D" w14:paraId="660136E7" w14:textId="77777777" w:rsidTr="0087167D">
        <w:tc>
          <w:tcPr>
            <w:tcW w:w="2113" w:type="dxa"/>
          </w:tcPr>
          <w:p w14:paraId="4E0152FC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3D964EA" w14:textId="77777777" w:rsidR="0087167D" w:rsidRPr="001302E6" w:rsidRDefault="004F04D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Kültéri</w:t>
            </w:r>
            <w:r w:rsidR="0087167D" w:rsidRPr="00C147CA">
              <w:rPr>
                <w:bCs/>
                <w:sz w:val="20"/>
                <w:szCs w:val="20"/>
              </w:rPr>
              <w:t xml:space="preserve">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4F04D6" w14:paraId="688EC858" w14:textId="77777777" w:rsidTr="0087167D">
        <w:tc>
          <w:tcPr>
            <w:tcW w:w="2113" w:type="dxa"/>
          </w:tcPr>
          <w:p w14:paraId="57A42A36" w14:textId="77777777" w:rsidR="004F04D6" w:rsidRPr="0087167D" w:rsidRDefault="004F04D6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Javasolt rétegszám:</w:t>
            </w:r>
          </w:p>
        </w:tc>
        <w:tc>
          <w:tcPr>
            <w:tcW w:w="5499" w:type="dxa"/>
          </w:tcPr>
          <w:p w14:paraId="4FF441D7" w14:textId="77777777" w:rsidR="004F04D6" w:rsidRDefault="004F04D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réteg.</w:t>
            </w:r>
          </w:p>
        </w:tc>
      </w:tr>
      <w:tr w:rsidR="0087167D" w14:paraId="4127EB11" w14:textId="77777777" w:rsidTr="0087167D">
        <w:tc>
          <w:tcPr>
            <w:tcW w:w="2113" w:type="dxa"/>
          </w:tcPr>
          <w:p w14:paraId="48A8BFBF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CD0CBD2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  <w:r w:rsidR="004F04D6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 xml:space="preserve">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081B323E" w14:textId="77777777" w:rsidTr="0087167D">
        <w:tc>
          <w:tcPr>
            <w:tcW w:w="2113" w:type="dxa"/>
          </w:tcPr>
          <w:p w14:paraId="3371B25C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BD43C54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0B9F3602" w14:textId="77777777" w:rsidTr="0087167D">
        <w:tc>
          <w:tcPr>
            <w:tcW w:w="2113" w:type="dxa"/>
          </w:tcPr>
          <w:p w14:paraId="16633231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Száradási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6894815" w14:textId="77777777" w:rsidR="0087167D" w:rsidRPr="00B16E1E" w:rsidRDefault="006C5B52" w:rsidP="004D7353">
            <w:pPr>
              <w:rPr>
                <w:bCs/>
                <w:sz w:val="20"/>
                <w:szCs w:val="20"/>
              </w:rPr>
            </w:pPr>
            <w:r w:rsidRPr="00B16E1E">
              <w:rPr>
                <w:bCs/>
                <w:sz w:val="20"/>
                <w:szCs w:val="20"/>
              </w:rPr>
              <w:t>~</w:t>
            </w:r>
            <w:r w:rsidR="004F04D6">
              <w:rPr>
                <w:bCs/>
                <w:sz w:val="20"/>
                <w:szCs w:val="20"/>
              </w:rPr>
              <w:t>24</w:t>
            </w:r>
            <w:r w:rsidRPr="00B16E1E">
              <w:rPr>
                <w:bCs/>
                <w:sz w:val="20"/>
                <w:szCs w:val="20"/>
              </w:rPr>
              <w:t xml:space="preserve">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D21F22B" w14:textId="77777777" w:rsidTr="0087167D">
        <w:tc>
          <w:tcPr>
            <w:tcW w:w="2113" w:type="dxa"/>
          </w:tcPr>
          <w:p w14:paraId="75E79F40" w14:textId="77777777" w:rsidR="0087167D" w:rsidRPr="0087167D" w:rsidRDefault="00C714D8" w:rsidP="004D735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Átvonhatóság</w:t>
            </w:r>
            <w:proofErr w:type="spellEnd"/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1D540C0" w14:textId="77777777" w:rsidR="0087167D" w:rsidRPr="00B16E1E" w:rsidRDefault="004F04D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minimum 4 óra.</w:t>
            </w:r>
          </w:p>
        </w:tc>
      </w:tr>
      <w:tr w:rsidR="00F3053A" w14:paraId="4DED0394" w14:textId="77777777" w:rsidTr="0087167D">
        <w:tc>
          <w:tcPr>
            <w:tcW w:w="2113" w:type="dxa"/>
          </w:tcPr>
          <w:p w14:paraId="1A545575" w14:textId="77777777" w:rsidR="00F3053A" w:rsidRDefault="00F3053A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Tisztíthatóság:</w:t>
            </w:r>
          </w:p>
        </w:tc>
        <w:tc>
          <w:tcPr>
            <w:tcW w:w="5499" w:type="dxa"/>
          </w:tcPr>
          <w:p w14:paraId="305F2A78" w14:textId="77777777" w:rsidR="00F3053A" w:rsidRDefault="00F3053A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finom szőrű kefével és tiszta vízzel tisztítható. Kerülje mindenféle mosó- és tisztítószer használatát!</w:t>
            </w:r>
          </w:p>
        </w:tc>
      </w:tr>
      <w:tr w:rsidR="0087167D" w14:paraId="309B6309" w14:textId="77777777" w:rsidTr="0087167D">
        <w:tc>
          <w:tcPr>
            <w:tcW w:w="2113" w:type="dxa"/>
          </w:tcPr>
          <w:p w14:paraId="18AF1145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F364901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F.</w:t>
            </w:r>
          </w:p>
        </w:tc>
      </w:tr>
    </w:tbl>
    <w:p w14:paraId="54332889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49A6E88F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4F04D6">
        <w:rPr>
          <w:bCs/>
          <w:sz w:val="20"/>
          <w:szCs w:val="20"/>
        </w:rPr>
        <w:t xml:space="preserve">4 l és 8 l, </w:t>
      </w:r>
      <w:r w:rsidR="00A60DE7" w:rsidRPr="00A60DE7">
        <w:rPr>
          <w:bCs/>
          <w:sz w:val="20"/>
          <w:szCs w:val="20"/>
        </w:rPr>
        <w:t>légmentesen záródó műanyag vödör</w:t>
      </w:r>
      <w:r w:rsidR="00354DF5">
        <w:rPr>
          <w:bCs/>
          <w:sz w:val="20"/>
          <w:szCs w:val="20"/>
        </w:rPr>
        <w:t>ben</w:t>
      </w:r>
      <w:r w:rsidR="00A60DE7" w:rsidRPr="00A60DE7">
        <w:rPr>
          <w:bCs/>
          <w:sz w:val="20"/>
          <w:szCs w:val="20"/>
        </w:rPr>
        <w:t>.</w:t>
      </w:r>
    </w:p>
    <w:p w14:paraId="23349928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lastRenderedPageBreak/>
        <w:t>TÁROLÁS / ELTARTHATÓSÁG</w:t>
      </w:r>
      <w:r>
        <w:rPr>
          <w:bCs/>
          <w:sz w:val="20"/>
          <w:szCs w:val="20"/>
        </w:rPr>
        <w:tab/>
        <w:t>Zárt fagymentes helyen, sugárzó hőtől, tűző naptól védve, bontatlan csomagolásban, a csomagoláson jelzett dátumtól 2 évig (+5 - +25°C között)</w:t>
      </w:r>
      <w:r w:rsidR="00354DF5">
        <w:rPr>
          <w:bCs/>
          <w:sz w:val="20"/>
          <w:szCs w:val="20"/>
        </w:rPr>
        <w:t>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2"/>
    <w:rsid w:val="00017660"/>
    <w:rsid w:val="00057A98"/>
    <w:rsid w:val="00064836"/>
    <w:rsid w:val="00085BC8"/>
    <w:rsid w:val="000D4B02"/>
    <w:rsid w:val="000E4CB0"/>
    <w:rsid w:val="000F5E1F"/>
    <w:rsid w:val="001302E6"/>
    <w:rsid w:val="00137067"/>
    <w:rsid w:val="00181BF7"/>
    <w:rsid w:val="00222F1A"/>
    <w:rsid w:val="0023213C"/>
    <w:rsid w:val="00283562"/>
    <w:rsid w:val="00301A3D"/>
    <w:rsid w:val="00303E5B"/>
    <w:rsid w:val="00353847"/>
    <w:rsid w:val="00354DF5"/>
    <w:rsid w:val="00373D3A"/>
    <w:rsid w:val="00387C69"/>
    <w:rsid w:val="003A0283"/>
    <w:rsid w:val="003A1EB3"/>
    <w:rsid w:val="003B2C41"/>
    <w:rsid w:val="003F5A2E"/>
    <w:rsid w:val="00401E5E"/>
    <w:rsid w:val="004178B3"/>
    <w:rsid w:val="00421A8B"/>
    <w:rsid w:val="00443481"/>
    <w:rsid w:val="004618A6"/>
    <w:rsid w:val="00462A93"/>
    <w:rsid w:val="004B3DC1"/>
    <w:rsid w:val="004D279A"/>
    <w:rsid w:val="004D7353"/>
    <w:rsid w:val="004E403C"/>
    <w:rsid w:val="004F04D6"/>
    <w:rsid w:val="00525ED4"/>
    <w:rsid w:val="00574048"/>
    <w:rsid w:val="005862CF"/>
    <w:rsid w:val="005B5326"/>
    <w:rsid w:val="005C4000"/>
    <w:rsid w:val="005F2044"/>
    <w:rsid w:val="005F3FAF"/>
    <w:rsid w:val="00673522"/>
    <w:rsid w:val="0067478F"/>
    <w:rsid w:val="006B763F"/>
    <w:rsid w:val="006C5B52"/>
    <w:rsid w:val="006F254D"/>
    <w:rsid w:val="00733C76"/>
    <w:rsid w:val="00754F93"/>
    <w:rsid w:val="0076535A"/>
    <w:rsid w:val="00770A40"/>
    <w:rsid w:val="00790E9B"/>
    <w:rsid w:val="007B0C57"/>
    <w:rsid w:val="007B38F6"/>
    <w:rsid w:val="007F728A"/>
    <w:rsid w:val="0081559A"/>
    <w:rsid w:val="008438E7"/>
    <w:rsid w:val="0087167D"/>
    <w:rsid w:val="00896E63"/>
    <w:rsid w:val="008C7536"/>
    <w:rsid w:val="008D75E1"/>
    <w:rsid w:val="00943CBD"/>
    <w:rsid w:val="00957182"/>
    <w:rsid w:val="00994F74"/>
    <w:rsid w:val="009C56B9"/>
    <w:rsid w:val="00A0177D"/>
    <w:rsid w:val="00A60DE7"/>
    <w:rsid w:val="00A701B5"/>
    <w:rsid w:val="00AD2B2D"/>
    <w:rsid w:val="00AD668C"/>
    <w:rsid w:val="00B16E1E"/>
    <w:rsid w:val="00B20425"/>
    <w:rsid w:val="00B41C6E"/>
    <w:rsid w:val="00B728A8"/>
    <w:rsid w:val="00B83295"/>
    <w:rsid w:val="00BA0121"/>
    <w:rsid w:val="00BD3ADC"/>
    <w:rsid w:val="00BE60CC"/>
    <w:rsid w:val="00BF7DA2"/>
    <w:rsid w:val="00C05C56"/>
    <w:rsid w:val="00C147CA"/>
    <w:rsid w:val="00C339B7"/>
    <w:rsid w:val="00C373CA"/>
    <w:rsid w:val="00C56233"/>
    <w:rsid w:val="00C714D8"/>
    <w:rsid w:val="00C74D3F"/>
    <w:rsid w:val="00D0081E"/>
    <w:rsid w:val="00D16F84"/>
    <w:rsid w:val="00D34819"/>
    <w:rsid w:val="00D40AE9"/>
    <w:rsid w:val="00D53C70"/>
    <w:rsid w:val="00D579C6"/>
    <w:rsid w:val="00D75BD2"/>
    <w:rsid w:val="00D82B96"/>
    <w:rsid w:val="00D8387F"/>
    <w:rsid w:val="00D86378"/>
    <w:rsid w:val="00D91CA0"/>
    <w:rsid w:val="00DA759C"/>
    <w:rsid w:val="00E926C6"/>
    <w:rsid w:val="00EE14AF"/>
    <w:rsid w:val="00F2118D"/>
    <w:rsid w:val="00F3053A"/>
    <w:rsid w:val="00F54794"/>
    <w:rsid w:val="00F67AB0"/>
    <w:rsid w:val="00F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48CF"/>
  <w15:chartTrackingRefBased/>
  <w15:docId w15:val="{F260D7C2-4780-44C0-AE20-9A2D241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10EEF-C5BD-44DF-AC9C-9EE245DB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3433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2</cp:revision>
  <cp:lastPrinted>2017-02-20T07:48:00Z</cp:lastPrinted>
  <dcterms:created xsi:type="dcterms:W3CDTF">2022-08-29T11:08:00Z</dcterms:created>
  <dcterms:modified xsi:type="dcterms:W3CDTF">2022-08-29T11:08:00Z</dcterms:modified>
</cp:coreProperties>
</file>