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9E83" w14:textId="33CA518B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D6581A">
        <w:rPr>
          <w:b/>
        </w:rPr>
        <w:t xml:space="preserve">THERMO </w:t>
      </w:r>
      <w:r w:rsidR="00432A1F">
        <w:rPr>
          <w:b/>
        </w:rPr>
        <w:t>UNI hőszigetelő</w:t>
      </w:r>
      <w:r w:rsidR="00356E9C">
        <w:rPr>
          <w:b/>
        </w:rPr>
        <w:t xml:space="preserve"> </w:t>
      </w:r>
      <w:r w:rsidR="00F14590">
        <w:rPr>
          <w:b/>
        </w:rPr>
        <w:t>rendszerragasztó</w:t>
      </w:r>
    </w:p>
    <w:p w14:paraId="65D2BDC3" w14:textId="77777777" w:rsidR="00F14590" w:rsidRDefault="005862CF" w:rsidP="00F1459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>Gyárilag előkevert, por alakú, szálerősített, cement és műgyantakötésű, szürke színű ragasztó- és glettelőtapasz,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amely könnyen feldolgozható, gazdaságos, jól kenhető, erős, repedésmentes felületet képez </w:t>
      </w:r>
      <w:r w:rsidR="00433956">
        <w:rPr>
          <w:bCs/>
          <w:sz w:val="20"/>
          <w:szCs w:val="20"/>
        </w:rPr>
        <w:t>a kőzetgyapot</w:t>
      </w:r>
      <w:r w:rsidR="0070548D">
        <w:rPr>
          <w:bCs/>
          <w:sz w:val="20"/>
          <w:szCs w:val="20"/>
        </w:rPr>
        <w:t xml:space="preserve"> és polisztirol</w:t>
      </w:r>
      <w:r w:rsidR="00F14590" w:rsidRPr="00F14590">
        <w:rPr>
          <w:bCs/>
          <w:sz w:val="20"/>
          <w:szCs w:val="20"/>
        </w:rPr>
        <w:t xml:space="preserve"> homlokzati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hőszigetelő rendszereken.</w:t>
      </w:r>
    </w:p>
    <w:p w14:paraId="60C6C831" w14:textId="0F195925" w:rsidR="00BE60CC" w:rsidRDefault="005862CF" w:rsidP="00F14590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 xml:space="preserve">A </w:t>
      </w:r>
      <w:r w:rsidR="00D6581A">
        <w:rPr>
          <w:bCs/>
          <w:sz w:val="20"/>
          <w:szCs w:val="20"/>
        </w:rPr>
        <w:t xml:space="preserve">THERMO </w:t>
      </w:r>
      <w:r w:rsidR="00432A1F">
        <w:rPr>
          <w:bCs/>
          <w:sz w:val="20"/>
          <w:szCs w:val="20"/>
        </w:rPr>
        <w:t>UNI hőszigetelő</w:t>
      </w:r>
      <w:r w:rsidR="00356E9C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rendszerragasztó alkalmas régi és új épületek</w:t>
      </w:r>
      <w:r w:rsidR="00433956">
        <w:rPr>
          <w:bCs/>
          <w:sz w:val="20"/>
          <w:szCs w:val="20"/>
        </w:rPr>
        <w:t xml:space="preserve"> kőzetgyapot lemezeinek,</w:t>
      </w:r>
      <w:r w:rsidR="00F14590" w:rsidRPr="00F14590">
        <w:rPr>
          <w:bCs/>
          <w:sz w:val="20"/>
          <w:szCs w:val="20"/>
        </w:rPr>
        <w:t xml:space="preserve"> extrudált (XPS)</w:t>
      </w:r>
      <w:r w:rsidR="00F14590">
        <w:rPr>
          <w:bCs/>
          <w:sz w:val="20"/>
          <w:szCs w:val="20"/>
        </w:rPr>
        <w:t>, expandált (EPS)</w:t>
      </w:r>
      <w:r w:rsidR="00F14590" w:rsidRPr="00F14590">
        <w:rPr>
          <w:bCs/>
          <w:sz w:val="20"/>
          <w:szCs w:val="20"/>
        </w:rPr>
        <w:t xml:space="preserve"> lábazati és expandált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(EPS) </w:t>
      </w:r>
      <w:r w:rsidR="007C2E13" w:rsidRPr="00F14590">
        <w:rPr>
          <w:bCs/>
          <w:sz w:val="20"/>
          <w:szCs w:val="20"/>
        </w:rPr>
        <w:t>homlokzat</w:t>
      </w:r>
      <w:r w:rsidR="00433956">
        <w:rPr>
          <w:bCs/>
          <w:sz w:val="20"/>
          <w:szCs w:val="20"/>
        </w:rPr>
        <w:t xml:space="preserve">i </w:t>
      </w:r>
      <w:r w:rsidR="00F14590" w:rsidRPr="00F14590">
        <w:rPr>
          <w:bCs/>
          <w:sz w:val="20"/>
          <w:szCs w:val="20"/>
        </w:rPr>
        <w:t>polisztirol alapú hőszigetelő lemezeinek ragasztására, és üvegszövet háló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beágyazására, glettelésére kül- és beltérben.</w:t>
      </w:r>
    </w:p>
    <w:p w14:paraId="44FADE49" w14:textId="46DF4E19" w:rsidR="00F14590" w:rsidRDefault="00017660" w:rsidP="00F14590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F14590" w:rsidRPr="00F14590">
        <w:rPr>
          <w:b/>
          <w:bCs/>
          <w:sz w:val="20"/>
          <w:szCs w:val="20"/>
        </w:rPr>
        <w:t>Ragasztás esetén:</w:t>
      </w:r>
      <w:r w:rsidR="00F14590" w:rsidRPr="00F14590">
        <w:rPr>
          <w:sz w:val="20"/>
          <w:szCs w:val="20"/>
        </w:rPr>
        <w:t xml:space="preserve"> az alapfelület és a polisztirol</w:t>
      </w:r>
      <w:r w:rsidR="001802F1">
        <w:rPr>
          <w:sz w:val="20"/>
          <w:szCs w:val="20"/>
        </w:rPr>
        <w:t xml:space="preserve"> vagy kőzetgyapot</w:t>
      </w:r>
      <w:r w:rsidR="00F14590" w:rsidRPr="00F14590">
        <w:rPr>
          <w:sz w:val="20"/>
          <w:szCs w:val="20"/>
        </w:rPr>
        <w:t xml:space="preserve"> lemez is legyen szilárd, száraz, mozgás-, zsugorodás-, por- és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mindenféle leválasztó szertől mentes. Az alapfelület lehet ásványi alapú vakolat, beton, tégla vagy pórusbeton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felület. Nagy nedvszívású alapfelület (kőpor, pórusbeton) esetén szükséges a GROUND univerzális mélyalapozó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használata a megfelelő tapadás elősegítésére</w:t>
      </w:r>
      <w:r w:rsidR="007C2E13">
        <w:rPr>
          <w:sz w:val="20"/>
          <w:szCs w:val="20"/>
        </w:rPr>
        <w:t xml:space="preserve">. </w:t>
      </w:r>
      <w:r w:rsidR="00F14590" w:rsidRPr="00F14590">
        <w:rPr>
          <w:sz w:val="20"/>
          <w:szCs w:val="20"/>
        </w:rPr>
        <w:t>A GROUND univerzális mélyalapozóról részletes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 xml:space="preserve">információt talál a </w:t>
      </w:r>
      <w:hyperlink r:id="rId6" w:history="1">
        <w:r w:rsidR="00356E9C" w:rsidRPr="00B85C8A">
          <w:rPr>
            <w:rStyle w:val="Hiperhivatkozs"/>
            <w:sz w:val="20"/>
            <w:szCs w:val="20"/>
          </w:rPr>
          <w:t>www.meton.hu</w:t>
        </w:r>
      </w:hyperlink>
      <w:r w:rsidR="007C2E13">
        <w:rPr>
          <w:sz w:val="20"/>
          <w:szCs w:val="20"/>
        </w:rPr>
        <w:t xml:space="preserve"> weboldalon</w:t>
      </w:r>
      <w:r w:rsidR="00F14590" w:rsidRPr="00F14590">
        <w:rPr>
          <w:sz w:val="20"/>
          <w:szCs w:val="20"/>
        </w:rPr>
        <w:t>.</w:t>
      </w:r>
    </w:p>
    <w:p w14:paraId="672E723B" w14:textId="77777777" w:rsidR="0067478F" w:rsidRPr="00673522" w:rsidRDefault="00F14590" w:rsidP="00F14590">
      <w:pPr>
        <w:spacing w:line="240" w:lineRule="auto"/>
        <w:ind w:left="2552"/>
        <w:jc w:val="both"/>
        <w:rPr>
          <w:sz w:val="20"/>
          <w:szCs w:val="20"/>
        </w:rPr>
      </w:pPr>
      <w:r w:rsidRPr="00F14590">
        <w:rPr>
          <w:b/>
          <w:bCs/>
          <w:sz w:val="20"/>
          <w:szCs w:val="20"/>
        </w:rPr>
        <w:t>Glettelés esetén:</w:t>
      </w:r>
      <w:r w:rsidRPr="00F14590">
        <w:rPr>
          <w:sz w:val="20"/>
          <w:szCs w:val="20"/>
        </w:rPr>
        <w:t xml:space="preserve"> a már összecsiszolt, dűbelezett felület legyen sík, száraz és pormentes. A nagyobb nyílások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legyenek PUR habbal kitöltöttek. A mélyre ütött dűbelek felületénél kerüljük a többlet ragasztótapasz felhordását,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mert ez a színező vakolat elszíneződéséhez vezethet.</w:t>
      </w:r>
    </w:p>
    <w:p w14:paraId="7BE127DB" w14:textId="6B8200A9" w:rsidR="007C2E13" w:rsidRDefault="00525ED4" w:rsidP="007C2E1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70548D">
        <w:rPr>
          <w:bCs/>
          <w:sz w:val="20"/>
          <w:szCs w:val="20"/>
        </w:rPr>
        <w:t>Öntsünk 6–7l csapvízhez 25</w:t>
      </w:r>
      <w:r w:rsidR="007C2E13" w:rsidRPr="007C2E13">
        <w:rPr>
          <w:bCs/>
          <w:sz w:val="20"/>
          <w:szCs w:val="20"/>
        </w:rPr>
        <w:t xml:space="preserve">kg </w:t>
      </w:r>
      <w:r w:rsidR="00D6581A">
        <w:rPr>
          <w:bCs/>
          <w:sz w:val="20"/>
          <w:szCs w:val="20"/>
        </w:rPr>
        <w:t>THERMO UNI</w:t>
      </w:r>
      <w:r w:rsidR="00432A1F">
        <w:rPr>
          <w:bCs/>
          <w:sz w:val="20"/>
          <w:szCs w:val="20"/>
        </w:rPr>
        <w:t xml:space="preserve"> hőszigetelő</w:t>
      </w:r>
      <w:r w:rsidR="007C2E13" w:rsidRPr="007C2E13">
        <w:rPr>
          <w:bCs/>
          <w:sz w:val="20"/>
          <w:szCs w:val="20"/>
        </w:rPr>
        <w:t xml:space="preserve"> rendszerragasztót.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csomómentesre alacsony fordulatszámú fúrógépbe fogott keverőszárral, hagyjuk 3–5 percig állni, majd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fel újra. Fontos, hogy a bekeverést követően többletvizet ne adjunk hozzá. A bekevert anyagot tanácsos 3 órán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belül felhasználni.</w:t>
      </w:r>
      <w:r w:rsidR="007C2E13">
        <w:rPr>
          <w:bCs/>
          <w:sz w:val="20"/>
          <w:szCs w:val="20"/>
        </w:rPr>
        <w:t xml:space="preserve"> </w:t>
      </w:r>
    </w:p>
    <w:p w14:paraId="07C30861" w14:textId="77777777" w:rsidR="007C2E13" w:rsidRDefault="007C2E13" w:rsidP="007C2E13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7C2E13">
        <w:rPr>
          <w:b/>
          <w:sz w:val="20"/>
          <w:szCs w:val="20"/>
        </w:rPr>
        <w:t>Táblák ragasztása:</w:t>
      </w:r>
      <w:r w:rsidRPr="007C2E13">
        <w:rPr>
          <w:bCs/>
          <w:sz w:val="20"/>
          <w:szCs w:val="20"/>
        </w:rPr>
        <w:t xml:space="preserve"> </w:t>
      </w:r>
      <w:r w:rsidR="001802F1">
        <w:rPr>
          <w:bCs/>
          <w:sz w:val="20"/>
          <w:szCs w:val="20"/>
        </w:rPr>
        <w:t xml:space="preserve">Ásványgyapot ragasztása esetén hőszigetelő tábla felületét elő kell glettelni, a ragasztóhabarcsot glettvassal a szállak közé kell préselni. </w:t>
      </w:r>
      <w:r w:rsidRPr="007C2E13">
        <w:rPr>
          <w:bCs/>
          <w:sz w:val="20"/>
          <w:szCs w:val="20"/>
        </w:rPr>
        <w:t>A hőszigetelőlapok hátoldalára csíkokban-pogácsákban, pont-peremragasztással, a felület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minimum 40%-os fedettségével ragasszunk. A táblákat egymáshoz kötésben, és a síkok pontos beállításával ragasszuk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fel lentről felfelé, ügyelve arra, hogy ragasztótapasz az összeillesztések közé ne kerüljön. Hálóágyazás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előtt végezzük el a szükséges összecsiszolást és dűbelezést. Ügyeljünk arra, hogy a falnyílások sarkai nem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eshetnek egybe a szigetelőlapok függőleges és vízsz</w:t>
      </w:r>
      <w:r w:rsidR="0070548D">
        <w:rPr>
          <w:bCs/>
          <w:sz w:val="20"/>
          <w:szCs w:val="20"/>
        </w:rPr>
        <w:t xml:space="preserve">intes fugáival. </w:t>
      </w:r>
      <w:r w:rsidR="008A6C97">
        <w:rPr>
          <w:bCs/>
          <w:sz w:val="20"/>
          <w:szCs w:val="20"/>
        </w:rPr>
        <w:t>Pótlásra c</w:t>
      </w:r>
      <w:r w:rsidR="0070548D">
        <w:rPr>
          <w:bCs/>
          <w:sz w:val="20"/>
          <w:szCs w:val="20"/>
        </w:rPr>
        <w:t>sak a lapok 15</w:t>
      </w:r>
      <w:r w:rsidRPr="007C2E13">
        <w:rPr>
          <w:bCs/>
          <w:sz w:val="20"/>
          <w:szCs w:val="20"/>
        </w:rPr>
        <w:t>cm-nél szélesebb darabjai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használhatóak és csak mezőközépen.</w:t>
      </w:r>
      <w:r>
        <w:rPr>
          <w:bCs/>
          <w:sz w:val="20"/>
          <w:szCs w:val="20"/>
        </w:rPr>
        <w:t xml:space="preserve"> </w:t>
      </w:r>
    </w:p>
    <w:p w14:paraId="6025229D" w14:textId="77777777" w:rsidR="00525ED4" w:rsidRPr="00525ED4" w:rsidRDefault="007C2E13" w:rsidP="007C2E13">
      <w:pPr>
        <w:spacing w:line="240" w:lineRule="auto"/>
        <w:ind w:left="2552"/>
        <w:jc w:val="both"/>
        <w:rPr>
          <w:b/>
          <w:sz w:val="20"/>
          <w:szCs w:val="20"/>
        </w:rPr>
      </w:pPr>
      <w:r w:rsidRPr="007C2E13">
        <w:rPr>
          <w:b/>
          <w:sz w:val="20"/>
          <w:szCs w:val="20"/>
        </w:rPr>
        <w:t>A háló ágyazás módja:</w:t>
      </w:r>
      <w:r w:rsidRPr="007C2E13">
        <w:rPr>
          <w:bCs/>
          <w:sz w:val="20"/>
          <w:szCs w:val="20"/>
        </w:rPr>
        <w:t xml:space="preserve"> Az összecsiszolt, portalanított, dűbelezett felületre a ragasztót fogazott rozsdamentes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glettvassal vagy fogazott H kartecsnivel hordjuk fel. A ragasztó rétegbe ágyazzuk bele gyűrődésmentesen az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üvegszövet hál</w:t>
      </w:r>
      <w:r w:rsidR="0070548D">
        <w:rPr>
          <w:bCs/>
          <w:sz w:val="20"/>
          <w:szCs w:val="20"/>
        </w:rPr>
        <w:t>ót úgy, hogy a sávok minimum 10</w:t>
      </w:r>
      <w:r w:rsidRPr="007C2E13">
        <w:rPr>
          <w:bCs/>
          <w:sz w:val="20"/>
          <w:szCs w:val="20"/>
        </w:rPr>
        <w:t>cm-en fedjék egymást, és a háló sehol ne látszódjon ki. Amennyiben a háló vagy a profilok kilátszanak, végezzünk a ragasztótapasszal kiegészítő glettelést a nedves a nedvesre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elv alapján. Szükség esetén a rendszerragasztót csiszoljuk meg a színező vakolási munkákat megelőzően.</w:t>
      </w:r>
    </w:p>
    <w:p w14:paraId="0BADD5C7" w14:textId="2A157A9B" w:rsidR="00D16F84" w:rsidRPr="00D16F84" w:rsidRDefault="00F2118D" w:rsidP="00D17975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70548D">
        <w:rPr>
          <w:bCs/>
          <w:sz w:val="20"/>
          <w:szCs w:val="20"/>
        </w:rPr>
        <w:t>A</w:t>
      </w:r>
      <w:r w:rsidR="00D17975" w:rsidRPr="00D17975">
        <w:rPr>
          <w:bCs/>
          <w:sz w:val="20"/>
          <w:szCs w:val="20"/>
        </w:rPr>
        <w:t xml:space="preserve"> rendszerragasztó használatát illetően minden egyéb kérdésben a MÉSZ (MAGYAR ÉPÍTŐKÉMIA és VAKOLAT</w:t>
      </w:r>
      <w:r w:rsidR="00057A9F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SZÖVETSÉG) útmutatásai az irányadóak. A </w:t>
      </w:r>
      <w:r w:rsidR="00D6581A">
        <w:rPr>
          <w:bCs/>
          <w:sz w:val="20"/>
          <w:szCs w:val="20"/>
        </w:rPr>
        <w:t>THERMO UNI</w:t>
      </w:r>
      <w:r w:rsidR="00432A1F">
        <w:rPr>
          <w:bCs/>
          <w:sz w:val="20"/>
          <w:szCs w:val="20"/>
        </w:rPr>
        <w:t xml:space="preserve"> hőszigetelő</w:t>
      </w:r>
      <w:r w:rsidR="00D17975" w:rsidRPr="00D17975">
        <w:rPr>
          <w:bCs/>
          <w:sz w:val="20"/>
          <w:szCs w:val="20"/>
        </w:rPr>
        <w:t xml:space="preserve"> rendszerragasztó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párás, ködös, esős időben, illetve tűző napon nem használható. Felhordása és száradási ideje alatt a felületi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és léghőmérséklet +5</w:t>
      </w:r>
      <w:r w:rsidR="00057A9F">
        <w:rPr>
          <w:bCs/>
          <w:sz w:val="20"/>
          <w:szCs w:val="20"/>
        </w:rPr>
        <w:t xml:space="preserve"> - </w:t>
      </w:r>
      <w:r w:rsidR="00D17975" w:rsidRPr="00D17975">
        <w:rPr>
          <w:bCs/>
          <w:sz w:val="20"/>
          <w:szCs w:val="20"/>
        </w:rPr>
        <w:t>+25 °C között legyen. A rétegvastagság, hőmérséklet és a páratartalom befolyásolja a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száradási időt. Magas páratartalom és alacsony hőmérséklet késlelteti, magas hőmérséklet gyorsítja a kötést és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a szilárdulást. A rendszerragasztót a kötés ideje alatt csapadék nem érheti! Termékeinkhez a feltüntetett víz me</w:t>
      </w:r>
      <w:r w:rsidR="00D17975">
        <w:rPr>
          <w:bCs/>
          <w:sz w:val="20"/>
          <w:szCs w:val="20"/>
        </w:rPr>
        <w:t>n</w:t>
      </w:r>
      <w:r w:rsidR="00D17975" w:rsidRPr="00D17975">
        <w:rPr>
          <w:bCs/>
          <w:sz w:val="20"/>
          <w:szCs w:val="20"/>
        </w:rPr>
        <w:t>nyiségén kívül más anyagot házilag hozzáadni nem szabad! A termék felhasználása szakértelmet igényel! Kérjük,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hogy a tájékoztatóban leírtakat gondosan olvassák át, munkavégzés közben vegyék figyelembe, mert a gyártó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csak a technológiai előírásoknak megfelelően, szakember által, az előírt jó minőségű felületre felhordott termékre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vállal garanciát! Feltétlenül tartsák be az idevonatkozó szakmai előírásokat! A kivitelezésből, illetve annak körülményeiből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(felület, szerszám, </w:t>
      </w:r>
      <w:r w:rsidR="002D0FC7" w:rsidRPr="00D17975">
        <w:rPr>
          <w:bCs/>
          <w:sz w:val="20"/>
          <w:szCs w:val="20"/>
        </w:rPr>
        <w:t>időjárás</w:t>
      </w:r>
      <w:r w:rsidR="00D17975" w:rsidRPr="00D17975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26EEE69F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3612257F" w14:textId="77777777" w:rsidR="007F728A" w:rsidRDefault="00636920" w:rsidP="00636920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057A9F">
        <w:rPr>
          <w:bCs/>
          <w:sz w:val="20"/>
          <w:szCs w:val="20"/>
        </w:rPr>
        <w:t>MSZ EN 13494</w:t>
      </w:r>
      <w:r>
        <w:rPr>
          <w:bCs/>
          <w:sz w:val="20"/>
          <w:szCs w:val="20"/>
        </w:rPr>
        <w:t xml:space="preserve">:2020 </w:t>
      </w:r>
      <w:r w:rsidRPr="00057A9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057A9F">
        <w:rPr>
          <w:bCs/>
          <w:sz w:val="20"/>
          <w:szCs w:val="20"/>
        </w:rPr>
        <w:t>ETAG004.</w:t>
      </w:r>
    </w:p>
    <w:p w14:paraId="71355AC4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281F7F50" w14:textId="77777777" w:rsidTr="0087167D">
        <w:tc>
          <w:tcPr>
            <w:tcW w:w="2113" w:type="dxa"/>
          </w:tcPr>
          <w:p w14:paraId="26E8050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E1649F1" w14:textId="77777777" w:rsidR="0087167D" w:rsidRPr="00057A9F" w:rsidRDefault="00D6581A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Polisztirol ragasztása esetén:</w:t>
            </w:r>
            <w:r>
              <w:rPr>
                <w:bCs/>
                <w:sz w:val="20"/>
                <w:szCs w:val="20"/>
              </w:rPr>
              <w:br/>
            </w:r>
            <w:r w:rsidR="00057A9F">
              <w:rPr>
                <w:bCs/>
                <w:sz w:val="20"/>
                <w:szCs w:val="20"/>
              </w:rPr>
              <w:t>-</w:t>
            </w:r>
            <w:r w:rsidR="00057A9F" w:rsidRPr="00057A9F">
              <w:rPr>
                <w:bCs/>
                <w:sz w:val="20"/>
                <w:szCs w:val="20"/>
              </w:rPr>
              <w:t xml:space="preserve">ragasztáshoz: </w:t>
            </w:r>
            <w:r w:rsidR="00685C66">
              <w:rPr>
                <w:bCs/>
                <w:sz w:val="20"/>
                <w:szCs w:val="20"/>
              </w:rPr>
              <w:t>3</w:t>
            </w:r>
            <w:r w:rsidR="00433956">
              <w:rPr>
                <w:bCs/>
                <w:sz w:val="20"/>
                <w:szCs w:val="20"/>
              </w:rPr>
              <w:t>-</w:t>
            </w:r>
            <w:r w:rsidR="00685C66">
              <w:rPr>
                <w:bCs/>
                <w:sz w:val="20"/>
                <w:szCs w:val="20"/>
              </w:rPr>
              <w:t>4</w:t>
            </w:r>
            <w:r w:rsidR="00057A9F" w:rsidRPr="00057A9F">
              <w:rPr>
                <w:bCs/>
                <w:sz w:val="20"/>
                <w:szCs w:val="20"/>
              </w:rPr>
              <w:t xml:space="preserve"> kg/m</w:t>
            </w:r>
            <w:r w:rsidR="00057A9F" w:rsidRPr="00057A9F">
              <w:rPr>
                <w:bCs/>
                <w:sz w:val="20"/>
                <w:szCs w:val="20"/>
                <w:vertAlign w:val="superscript"/>
              </w:rPr>
              <w:t>2</w:t>
            </w:r>
            <w:r w:rsidR="00057A9F">
              <w:rPr>
                <w:bCs/>
                <w:sz w:val="20"/>
                <w:szCs w:val="20"/>
              </w:rPr>
              <w:t>.</w:t>
            </w:r>
            <w:r w:rsidR="00057A9F" w:rsidRPr="00057A9F">
              <w:rPr>
                <w:bCs/>
                <w:sz w:val="20"/>
                <w:szCs w:val="20"/>
              </w:rPr>
              <w:br/>
            </w:r>
            <w:r w:rsidR="00057A9F" w:rsidRPr="00057A9F">
              <w:rPr>
                <w:bCs/>
                <w:sz w:val="20"/>
                <w:szCs w:val="20"/>
              </w:rPr>
              <w:lastRenderedPageBreak/>
              <w:t>-hálóágyazáshoz:</w:t>
            </w:r>
            <w:r w:rsidR="00057A9F">
              <w:rPr>
                <w:bCs/>
                <w:sz w:val="20"/>
                <w:szCs w:val="20"/>
              </w:rPr>
              <w:t xml:space="preserve"> </w:t>
            </w:r>
            <w:r w:rsidR="00685C66">
              <w:rPr>
                <w:bCs/>
                <w:sz w:val="20"/>
                <w:szCs w:val="20"/>
              </w:rPr>
              <w:t>3-4</w:t>
            </w:r>
            <w:r w:rsidR="00057A9F">
              <w:rPr>
                <w:bCs/>
                <w:sz w:val="20"/>
                <w:szCs w:val="20"/>
              </w:rPr>
              <w:t xml:space="preserve"> kg/m</w:t>
            </w:r>
            <w:r w:rsidR="00057A9F">
              <w:rPr>
                <w:bCs/>
                <w:sz w:val="20"/>
                <w:szCs w:val="20"/>
                <w:vertAlign w:val="superscript"/>
              </w:rPr>
              <w:t>2</w:t>
            </w:r>
            <w:r w:rsidR="00057A9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br/>
            </w:r>
            <w:r w:rsidR="0029529B">
              <w:rPr>
                <w:bCs/>
                <w:sz w:val="20"/>
                <w:szCs w:val="20"/>
              </w:rPr>
              <w:t>Kőzetgyapot</w:t>
            </w:r>
            <w:r>
              <w:rPr>
                <w:bCs/>
                <w:sz w:val="20"/>
                <w:szCs w:val="20"/>
              </w:rPr>
              <w:t xml:space="preserve"> ragasztása esetén:</w:t>
            </w:r>
            <w:r>
              <w:rPr>
                <w:bCs/>
                <w:sz w:val="20"/>
                <w:szCs w:val="20"/>
              </w:rPr>
              <w:br/>
              <w:t>-</w:t>
            </w:r>
            <w:r w:rsidRPr="00057A9F">
              <w:rPr>
                <w:bCs/>
                <w:sz w:val="20"/>
                <w:szCs w:val="20"/>
              </w:rPr>
              <w:t xml:space="preserve">ragasztáshoz: </w:t>
            </w:r>
            <w:r>
              <w:rPr>
                <w:bCs/>
                <w:sz w:val="20"/>
                <w:szCs w:val="20"/>
              </w:rPr>
              <w:t>4-5</w:t>
            </w:r>
            <w:r w:rsidRPr="00057A9F">
              <w:rPr>
                <w:bCs/>
                <w:sz w:val="20"/>
                <w:szCs w:val="20"/>
              </w:rPr>
              <w:t xml:space="preserve"> kg/m</w:t>
            </w:r>
            <w:r w:rsidRPr="00057A9F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>-hálóágyazáshoz:</w:t>
            </w:r>
            <w:r>
              <w:rPr>
                <w:bCs/>
                <w:sz w:val="20"/>
                <w:szCs w:val="20"/>
              </w:rPr>
              <w:t xml:space="preserve"> 6-7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2E4564">
              <w:rPr>
                <w:bCs/>
                <w:sz w:val="20"/>
                <w:szCs w:val="20"/>
              </w:rPr>
              <w:t>.</w:t>
            </w:r>
            <w:r w:rsidR="00057A9F"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F050175" w14:textId="77777777" w:rsidTr="0087167D">
        <w:tc>
          <w:tcPr>
            <w:tcW w:w="2113" w:type="dxa"/>
          </w:tcPr>
          <w:p w14:paraId="5B63F4F4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4B92D21" w14:textId="77777777" w:rsidR="0087167D" w:rsidRPr="001302E6" w:rsidRDefault="00057A9F" w:rsidP="007054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6-7l csapvíz 1 zsák/25 kg polisztirol ragasztóhoz.</w:t>
            </w:r>
          </w:p>
        </w:tc>
      </w:tr>
      <w:tr w:rsidR="0087167D" w14:paraId="3C1A73C7" w14:textId="77777777" w:rsidTr="0087167D">
        <w:tc>
          <w:tcPr>
            <w:tcW w:w="2113" w:type="dxa"/>
          </w:tcPr>
          <w:p w14:paraId="2E15E7B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967BF16" w14:textId="77777777" w:rsidR="0087167D" w:rsidRPr="00C147CA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fogazott rozsdamentes glettvas vagy fogazott H kartecsni.</w:t>
            </w:r>
          </w:p>
        </w:tc>
      </w:tr>
      <w:tr w:rsidR="0087167D" w14:paraId="626346C8" w14:textId="77777777" w:rsidTr="0087167D">
        <w:tc>
          <w:tcPr>
            <w:tcW w:w="2113" w:type="dxa"/>
          </w:tcPr>
          <w:p w14:paraId="5DD8696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25001D6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057A9F">
              <w:rPr>
                <w:bCs/>
                <w:sz w:val="20"/>
                <w:szCs w:val="20"/>
              </w:rPr>
              <w:t>téri</w:t>
            </w:r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27989A5" w14:textId="77777777" w:rsidTr="0087167D">
        <w:tc>
          <w:tcPr>
            <w:tcW w:w="2113" w:type="dxa"/>
          </w:tcPr>
          <w:p w14:paraId="159F50E8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BEF9D7D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9F52B17" w14:textId="77777777" w:rsidTr="0087167D">
        <w:tc>
          <w:tcPr>
            <w:tcW w:w="2113" w:type="dxa"/>
          </w:tcPr>
          <w:p w14:paraId="1BA2527D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D434D31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A3D1206" w14:textId="77777777" w:rsidTr="0087167D">
        <w:tc>
          <w:tcPr>
            <w:tcW w:w="2113" w:type="dxa"/>
          </w:tcPr>
          <w:p w14:paraId="2D82E67A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Bedolgozhatósági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1D096FD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maximum 3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119F330" w14:textId="77777777" w:rsidTr="0087167D">
        <w:tc>
          <w:tcPr>
            <w:tcW w:w="2113" w:type="dxa"/>
          </w:tcPr>
          <w:p w14:paraId="63E926CD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2827047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72 óra m</w:t>
            </w:r>
            <w:r w:rsidR="00685C66">
              <w:rPr>
                <w:bCs/>
                <w:sz w:val="20"/>
                <w:szCs w:val="20"/>
              </w:rPr>
              <w:t>ú</w:t>
            </w:r>
            <w:r>
              <w:rPr>
                <w:bCs/>
                <w:sz w:val="20"/>
                <w:szCs w:val="20"/>
              </w:rPr>
              <w:t>lva.</w:t>
            </w:r>
          </w:p>
        </w:tc>
      </w:tr>
      <w:tr w:rsidR="00F3053A" w14:paraId="5ACAC9E7" w14:textId="77777777" w:rsidTr="0087167D">
        <w:tc>
          <w:tcPr>
            <w:tcW w:w="2113" w:type="dxa"/>
          </w:tcPr>
          <w:p w14:paraId="3B935667" w14:textId="77777777" w:rsidR="00F3053A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E666F5B" w14:textId="77777777" w:rsidR="00F3053A" w:rsidRPr="002E4564" w:rsidRDefault="00057A9F" w:rsidP="007054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≥1,1 </w:t>
            </w:r>
            <w:r w:rsidR="0070548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2E4564">
              <w:rPr>
                <w:bCs/>
                <w:sz w:val="20"/>
                <w:szCs w:val="20"/>
              </w:rPr>
              <w:t>.</w:t>
            </w:r>
          </w:p>
        </w:tc>
      </w:tr>
      <w:tr w:rsidR="00057A9F" w14:paraId="2947EADF" w14:textId="77777777" w:rsidTr="0087167D">
        <w:tc>
          <w:tcPr>
            <w:tcW w:w="2113" w:type="dxa"/>
          </w:tcPr>
          <w:p w14:paraId="30B08693" w14:textId="77777777" w:rsidR="00057A9F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7F277F34" w14:textId="77777777" w:rsidR="00057A9F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3mm.</w:t>
            </w:r>
          </w:p>
        </w:tc>
      </w:tr>
      <w:tr w:rsidR="0087167D" w14:paraId="268E295A" w14:textId="77777777" w:rsidTr="0087167D">
        <w:tc>
          <w:tcPr>
            <w:tcW w:w="2113" w:type="dxa"/>
          </w:tcPr>
          <w:p w14:paraId="470A45F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02A6C6B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36D52B80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2AF2A41E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398EEBD7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C266F1">
        <w:rPr>
          <w:bCs/>
          <w:sz w:val="20"/>
          <w:szCs w:val="20"/>
        </w:rPr>
        <w:t>Zárt fagymentes helyen, mindennemű nedvességtől, sugárzó hőtől, tűző naptól védve, bontatlan csomagolásban, a csomagoláson jelzett dátumtól 1 évig (+5 - +25°C között).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0059">
    <w:abstractNumId w:val="1"/>
  </w:num>
  <w:num w:numId="2" w16cid:durableId="199336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D4B02"/>
    <w:rsid w:val="000E4CB0"/>
    <w:rsid w:val="000F5E1F"/>
    <w:rsid w:val="001302E6"/>
    <w:rsid w:val="00137067"/>
    <w:rsid w:val="001802F1"/>
    <w:rsid w:val="00181BF7"/>
    <w:rsid w:val="001E454C"/>
    <w:rsid w:val="0021164E"/>
    <w:rsid w:val="00222F1A"/>
    <w:rsid w:val="0023213C"/>
    <w:rsid w:val="00283562"/>
    <w:rsid w:val="0029529B"/>
    <w:rsid w:val="002D0FC7"/>
    <w:rsid w:val="002E4564"/>
    <w:rsid w:val="00301A3D"/>
    <w:rsid w:val="00303E5B"/>
    <w:rsid w:val="00353847"/>
    <w:rsid w:val="00354DF5"/>
    <w:rsid w:val="00356E9C"/>
    <w:rsid w:val="00373D3A"/>
    <w:rsid w:val="00387C69"/>
    <w:rsid w:val="003A0283"/>
    <w:rsid w:val="003A1EB3"/>
    <w:rsid w:val="003B2C41"/>
    <w:rsid w:val="003C0A01"/>
    <w:rsid w:val="003F5A2E"/>
    <w:rsid w:val="00401E5E"/>
    <w:rsid w:val="004178B3"/>
    <w:rsid w:val="00421A8B"/>
    <w:rsid w:val="00432A1F"/>
    <w:rsid w:val="00433956"/>
    <w:rsid w:val="00443481"/>
    <w:rsid w:val="004618A6"/>
    <w:rsid w:val="00462A93"/>
    <w:rsid w:val="00481FE7"/>
    <w:rsid w:val="004B3DC1"/>
    <w:rsid w:val="004D279A"/>
    <w:rsid w:val="004D7353"/>
    <w:rsid w:val="004E403C"/>
    <w:rsid w:val="00525ED4"/>
    <w:rsid w:val="00554E62"/>
    <w:rsid w:val="00574048"/>
    <w:rsid w:val="005862CF"/>
    <w:rsid w:val="005B5326"/>
    <w:rsid w:val="005B7C42"/>
    <w:rsid w:val="005C4000"/>
    <w:rsid w:val="005F2044"/>
    <w:rsid w:val="005F3FAF"/>
    <w:rsid w:val="00636920"/>
    <w:rsid w:val="00673522"/>
    <w:rsid w:val="0067478F"/>
    <w:rsid w:val="00685C66"/>
    <w:rsid w:val="006B763F"/>
    <w:rsid w:val="006C5B52"/>
    <w:rsid w:val="006F254D"/>
    <w:rsid w:val="0070548D"/>
    <w:rsid w:val="00733C76"/>
    <w:rsid w:val="0076535A"/>
    <w:rsid w:val="00770A40"/>
    <w:rsid w:val="00790E9B"/>
    <w:rsid w:val="007B38F6"/>
    <w:rsid w:val="007C2E13"/>
    <w:rsid w:val="007E4366"/>
    <w:rsid w:val="007F728A"/>
    <w:rsid w:val="00813F24"/>
    <w:rsid w:val="0081559A"/>
    <w:rsid w:val="008438E7"/>
    <w:rsid w:val="0087167D"/>
    <w:rsid w:val="00896E63"/>
    <w:rsid w:val="008A6C97"/>
    <w:rsid w:val="008D75E1"/>
    <w:rsid w:val="00943CBD"/>
    <w:rsid w:val="00957182"/>
    <w:rsid w:val="00994F74"/>
    <w:rsid w:val="009C56B9"/>
    <w:rsid w:val="00A00774"/>
    <w:rsid w:val="00A60DE7"/>
    <w:rsid w:val="00A6367E"/>
    <w:rsid w:val="00A701B5"/>
    <w:rsid w:val="00AD2B2D"/>
    <w:rsid w:val="00AD668C"/>
    <w:rsid w:val="00B16E1E"/>
    <w:rsid w:val="00B41C6E"/>
    <w:rsid w:val="00B728A8"/>
    <w:rsid w:val="00B83295"/>
    <w:rsid w:val="00BA0121"/>
    <w:rsid w:val="00BD3ADC"/>
    <w:rsid w:val="00BE60CC"/>
    <w:rsid w:val="00BF7DA2"/>
    <w:rsid w:val="00C147CA"/>
    <w:rsid w:val="00C266F1"/>
    <w:rsid w:val="00C339B7"/>
    <w:rsid w:val="00C373CA"/>
    <w:rsid w:val="00C56233"/>
    <w:rsid w:val="00C714D8"/>
    <w:rsid w:val="00C74D3F"/>
    <w:rsid w:val="00D0081E"/>
    <w:rsid w:val="00D16F84"/>
    <w:rsid w:val="00D17975"/>
    <w:rsid w:val="00D34819"/>
    <w:rsid w:val="00D40AE9"/>
    <w:rsid w:val="00D53C70"/>
    <w:rsid w:val="00D579C6"/>
    <w:rsid w:val="00D6581A"/>
    <w:rsid w:val="00D75BD2"/>
    <w:rsid w:val="00D82B96"/>
    <w:rsid w:val="00D8387F"/>
    <w:rsid w:val="00D86378"/>
    <w:rsid w:val="00DA759C"/>
    <w:rsid w:val="00E44AB6"/>
    <w:rsid w:val="00E926C6"/>
    <w:rsid w:val="00EE14AF"/>
    <w:rsid w:val="00F142B5"/>
    <w:rsid w:val="00F14590"/>
    <w:rsid w:val="00F2118D"/>
    <w:rsid w:val="00F3053A"/>
    <w:rsid w:val="00F54794"/>
    <w:rsid w:val="00F67AB0"/>
    <w:rsid w:val="00F708F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FF95"/>
  <w15:docId w15:val="{83AD795C-5BDE-48D5-A696-6FEFAC4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C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C32D-1007-413C-9D9C-AA0B58B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680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11</cp:revision>
  <cp:lastPrinted>2017-02-20T07:48:00Z</cp:lastPrinted>
  <dcterms:created xsi:type="dcterms:W3CDTF">2021-03-02T14:17:00Z</dcterms:created>
  <dcterms:modified xsi:type="dcterms:W3CDTF">2022-08-26T09:27:00Z</dcterms:modified>
</cp:coreProperties>
</file>