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EA57E" w14:textId="77777777" w:rsidR="004178B3" w:rsidRDefault="005862CF" w:rsidP="004178B3">
      <w:pPr>
        <w:ind w:left="2552" w:hanging="2552"/>
        <w:rPr>
          <w:b/>
        </w:rPr>
      </w:pPr>
      <w:r w:rsidRPr="005862CF">
        <w:rPr>
          <w:b/>
        </w:rPr>
        <w:t>TERMÉKNÉV</w:t>
      </w:r>
      <w:r w:rsidR="004178B3">
        <w:rPr>
          <w:b/>
        </w:rPr>
        <w:tab/>
      </w:r>
      <w:r w:rsidR="004E1CD7">
        <w:rPr>
          <w:b/>
        </w:rPr>
        <w:t>WHITE CEMENT GLETT kül, és beltéri felületkiegyenlítő glettanyag</w:t>
      </w:r>
    </w:p>
    <w:p w14:paraId="2B6FC1BE" w14:textId="77777777" w:rsidR="00F14590" w:rsidRDefault="005862CF" w:rsidP="004E1CD7">
      <w:pPr>
        <w:spacing w:line="240" w:lineRule="auto"/>
        <w:ind w:left="2552" w:hanging="2552"/>
        <w:jc w:val="both"/>
        <w:rPr>
          <w:bCs/>
          <w:sz w:val="20"/>
          <w:szCs w:val="20"/>
        </w:rPr>
      </w:pPr>
      <w:r w:rsidRPr="00EE14AF">
        <w:rPr>
          <w:b/>
          <w:sz w:val="20"/>
          <w:szCs w:val="20"/>
        </w:rPr>
        <w:t>LEÍRÁS/ANYAGÖSSZETÉTEL</w:t>
      </w:r>
      <w:r w:rsidRPr="00EE14AF">
        <w:rPr>
          <w:b/>
          <w:sz w:val="20"/>
          <w:szCs w:val="20"/>
        </w:rPr>
        <w:tab/>
      </w:r>
      <w:r w:rsidR="004E1CD7" w:rsidRPr="004E1CD7">
        <w:rPr>
          <w:bCs/>
          <w:sz w:val="20"/>
          <w:szCs w:val="20"/>
        </w:rPr>
        <w:t>Gyárilag előkevert,</w:t>
      </w:r>
      <w:r w:rsidR="004E1CD7">
        <w:rPr>
          <w:bCs/>
          <w:sz w:val="20"/>
          <w:szCs w:val="20"/>
        </w:rPr>
        <w:t xml:space="preserve"> por alakú,</w:t>
      </w:r>
      <w:r w:rsidR="004E1CD7" w:rsidRPr="004E1CD7">
        <w:rPr>
          <w:bCs/>
          <w:sz w:val="20"/>
          <w:szCs w:val="20"/>
        </w:rPr>
        <w:t xml:space="preserve"> természetes ásványi anyagokat, fehér cementet és tulajdonságjavító adalékanyagokat tartalmazó</w:t>
      </w:r>
      <w:r w:rsidR="004E1CD7">
        <w:rPr>
          <w:bCs/>
          <w:sz w:val="20"/>
          <w:szCs w:val="20"/>
        </w:rPr>
        <w:t xml:space="preserve"> </w:t>
      </w:r>
      <w:r w:rsidR="004E1CD7" w:rsidRPr="004E1CD7">
        <w:rPr>
          <w:bCs/>
          <w:sz w:val="20"/>
          <w:szCs w:val="20"/>
        </w:rPr>
        <w:t>felületkiegyenlítő kül- és beltéri gletthabarcs. Tört fehér színű, finomszemcsés, könnyen feldolgozható,</w:t>
      </w:r>
      <w:r w:rsidR="004E1CD7">
        <w:rPr>
          <w:bCs/>
          <w:sz w:val="20"/>
          <w:szCs w:val="20"/>
        </w:rPr>
        <w:t xml:space="preserve"> </w:t>
      </w:r>
      <w:r w:rsidR="004E1CD7" w:rsidRPr="004E1CD7">
        <w:rPr>
          <w:bCs/>
          <w:sz w:val="20"/>
          <w:szCs w:val="20"/>
        </w:rPr>
        <w:t>fagyálló és mérsékelten páraáteresztő, repedés és zsugorodásmentes. Felhordható kézzel és géppel.</w:t>
      </w:r>
    </w:p>
    <w:p w14:paraId="7968704F" w14:textId="148F286F" w:rsidR="00BE60CC" w:rsidRDefault="005862CF" w:rsidP="004E1CD7">
      <w:pPr>
        <w:spacing w:line="240" w:lineRule="auto"/>
        <w:ind w:left="2552" w:hanging="2552"/>
        <w:jc w:val="both"/>
        <w:rPr>
          <w:b/>
          <w:bCs/>
          <w:sz w:val="20"/>
          <w:szCs w:val="20"/>
        </w:rPr>
      </w:pPr>
      <w:r w:rsidRPr="00EE14AF">
        <w:rPr>
          <w:b/>
          <w:sz w:val="20"/>
          <w:szCs w:val="20"/>
        </w:rPr>
        <w:t>ALKALMAZÁSI TERÜLET</w:t>
      </w:r>
      <w:r w:rsidRPr="00EE14AF">
        <w:rPr>
          <w:b/>
          <w:sz w:val="20"/>
          <w:szCs w:val="20"/>
        </w:rPr>
        <w:tab/>
      </w:r>
      <w:r w:rsidR="004E1CD7" w:rsidRPr="004E1CD7">
        <w:rPr>
          <w:bCs/>
          <w:sz w:val="20"/>
          <w:szCs w:val="20"/>
        </w:rPr>
        <w:t>Új és régi épületek, beton, Hvh 10 minőségi jelű cement kötőanyagú vakolattal vakolt felületek simítására, glettelésére</w:t>
      </w:r>
      <w:r w:rsidR="004E1CD7">
        <w:rPr>
          <w:bCs/>
          <w:sz w:val="20"/>
          <w:szCs w:val="20"/>
        </w:rPr>
        <w:t xml:space="preserve"> </w:t>
      </w:r>
      <w:r w:rsidR="004E1CD7" w:rsidRPr="004E1CD7">
        <w:rPr>
          <w:bCs/>
          <w:sz w:val="20"/>
          <w:szCs w:val="20"/>
        </w:rPr>
        <w:t>alkalmazható külső és belső térben, vizes és normál páraterhelésnek kitett helyiségekben. GROUND</w:t>
      </w:r>
      <w:r w:rsidR="004E1CD7">
        <w:rPr>
          <w:bCs/>
          <w:sz w:val="20"/>
          <w:szCs w:val="20"/>
        </w:rPr>
        <w:t xml:space="preserve"> </w:t>
      </w:r>
      <w:r w:rsidR="004E1CD7" w:rsidRPr="004E1CD7">
        <w:rPr>
          <w:bCs/>
          <w:sz w:val="20"/>
          <w:szCs w:val="20"/>
        </w:rPr>
        <w:t>univerzális mélyalapozóval kezelt kapart alapvakolat, kőporos felület lesimítására is alkalmas.</w:t>
      </w:r>
    </w:p>
    <w:p w14:paraId="36A9822F" w14:textId="77777777" w:rsidR="00F14590" w:rsidRDefault="00017660" w:rsidP="004E1CD7">
      <w:pPr>
        <w:spacing w:line="240" w:lineRule="auto"/>
        <w:ind w:left="2552" w:hanging="2552"/>
        <w:jc w:val="both"/>
        <w:rPr>
          <w:sz w:val="20"/>
          <w:szCs w:val="20"/>
        </w:rPr>
      </w:pPr>
      <w:r w:rsidRPr="00EE14AF">
        <w:rPr>
          <w:b/>
          <w:sz w:val="20"/>
          <w:szCs w:val="20"/>
        </w:rPr>
        <w:t>ALAPFELÜLET JELLEMZŐI</w:t>
      </w:r>
      <w:r w:rsidRPr="00EE14AF">
        <w:rPr>
          <w:b/>
          <w:sz w:val="20"/>
          <w:szCs w:val="20"/>
        </w:rPr>
        <w:tab/>
      </w:r>
      <w:r w:rsidR="004E1CD7" w:rsidRPr="004E1CD7">
        <w:rPr>
          <w:sz w:val="20"/>
          <w:szCs w:val="20"/>
        </w:rPr>
        <w:t>Az alapfelület szilárd, por- és szennyeződésmentes, valamint teljes rétegvastagságában száraz legyen. A laza,</w:t>
      </w:r>
      <w:r w:rsidR="004E1CD7">
        <w:rPr>
          <w:sz w:val="20"/>
          <w:szCs w:val="20"/>
        </w:rPr>
        <w:t xml:space="preserve"> </w:t>
      </w:r>
      <w:r w:rsidR="004E1CD7" w:rsidRPr="004E1CD7">
        <w:rPr>
          <w:sz w:val="20"/>
          <w:szCs w:val="20"/>
        </w:rPr>
        <w:t>sérült részeket és egyéb szennyeződéseket, zsaluolajat vagy más elválasztó szereket távolítsuk el a felületről.</w:t>
      </w:r>
      <w:r w:rsidR="004E1CD7">
        <w:rPr>
          <w:sz w:val="20"/>
          <w:szCs w:val="20"/>
        </w:rPr>
        <w:t xml:space="preserve"> </w:t>
      </w:r>
      <w:r w:rsidR="004E1CD7" w:rsidRPr="004E1CD7">
        <w:rPr>
          <w:sz w:val="20"/>
          <w:szCs w:val="20"/>
        </w:rPr>
        <w:t>Az alapfelület lehet ásványi alapú vakolat, beton, tégla vagy pórusbeton felület.</w:t>
      </w:r>
    </w:p>
    <w:p w14:paraId="1FF405BD" w14:textId="25E06775" w:rsidR="004E1CD7" w:rsidRPr="004E1CD7" w:rsidRDefault="004E1CD7" w:rsidP="004E1CD7">
      <w:pPr>
        <w:spacing w:line="240" w:lineRule="auto"/>
        <w:ind w:left="2552" w:hanging="2552"/>
        <w:jc w:val="both"/>
        <w:rPr>
          <w:bCs/>
          <w:sz w:val="20"/>
          <w:szCs w:val="20"/>
        </w:rPr>
      </w:pPr>
      <w:r>
        <w:rPr>
          <w:b/>
          <w:sz w:val="20"/>
          <w:szCs w:val="20"/>
        </w:rPr>
        <w:t>ALAPOZÁS</w:t>
      </w:r>
      <w:r>
        <w:rPr>
          <w:b/>
          <w:sz w:val="20"/>
          <w:szCs w:val="20"/>
        </w:rPr>
        <w:tab/>
      </w:r>
      <w:r w:rsidRPr="004E1CD7">
        <w:rPr>
          <w:bCs/>
          <w:sz w:val="20"/>
          <w:szCs w:val="20"/>
        </w:rPr>
        <w:t>Amennyiben a felület nagy nedvszívású (pl. kőporos régi vakolat, pórusbeton), a glettelés megkezdése előtt</w:t>
      </w:r>
      <w:r w:rsidR="00C41BC4">
        <w:rPr>
          <w:bCs/>
          <w:sz w:val="20"/>
          <w:szCs w:val="20"/>
        </w:rPr>
        <w:t xml:space="preserve"> </w:t>
      </w:r>
      <w:r w:rsidRPr="004E1CD7">
        <w:rPr>
          <w:bCs/>
          <w:sz w:val="20"/>
          <w:szCs w:val="20"/>
        </w:rPr>
        <w:t>szükséges a GROUND univerzális mélyalapozó használata a megfelelő tapadás elősegítésére. A GROUND</w:t>
      </w:r>
      <w:r w:rsidR="00C41BC4">
        <w:rPr>
          <w:bCs/>
          <w:sz w:val="20"/>
          <w:szCs w:val="20"/>
        </w:rPr>
        <w:t xml:space="preserve"> </w:t>
      </w:r>
      <w:r w:rsidRPr="004E1CD7">
        <w:rPr>
          <w:bCs/>
          <w:sz w:val="20"/>
          <w:szCs w:val="20"/>
        </w:rPr>
        <w:t xml:space="preserve">univerzális mélyalapozóról részletes információt talál a </w:t>
      </w:r>
      <w:hyperlink r:id="rId6" w:history="1">
        <w:r w:rsidR="00C41BC4" w:rsidRPr="00035F55">
          <w:rPr>
            <w:rStyle w:val="Hiperhivatkozs"/>
            <w:bCs/>
            <w:sz w:val="20"/>
            <w:szCs w:val="20"/>
          </w:rPr>
          <w:t>www.</w:t>
        </w:r>
        <w:r w:rsidR="007E5E31">
          <w:rPr>
            <w:rStyle w:val="Hiperhivatkozs"/>
            <w:bCs/>
            <w:sz w:val="20"/>
            <w:szCs w:val="20"/>
          </w:rPr>
          <w:t>meton</w:t>
        </w:r>
        <w:r w:rsidR="00C41BC4" w:rsidRPr="00035F55">
          <w:rPr>
            <w:rStyle w:val="Hiperhivatkozs"/>
            <w:bCs/>
            <w:sz w:val="20"/>
            <w:szCs w:val="20"/>
          </w:rPr>
          <w:t>.hu</w:t>
        </w:r>
      </w:hyperlink>
      <w:r w:rsidR="00C41BC4">
        <w:rPr>
          <w:bCs/>
          <w:sz w:val="20"/>
          <w:szCs w:val="20"/>
        </w:rPr>
        <w:t xml:space="preserve"> weboldalon</w:t>
      </w:r>
      <w:r w:rsidRPr="004E1CD7">
        <w:rPr>
          <w:bCs/>
          <w:sz w:val="20"/>
          <w:szCs w:val="20"/>
        </w:rPr>
        <w:t>.</w:t>
      </w:r>
    </w:p>
    <w:p w14:paraId="6F8CF421" w14:textId="77777777" w:rsidR="00525ED4" w:rsidRPr="00525ED4" w:rsidRDefault="00525ED4" w:rsidP="00C41BC4">
      <w:pPr>
        <w:spacing w:line="240" w:lineRule="auto"/>
        <w:ind w:left="2552" w:hanging="2552"/>
        <w:jc w:val="both"/>
        <w:rPr>
          <w:b/>
          <w:sz w:val="20"/>
          <w:szCs w:val="20"/>
        </w:rPr>
      </w:pPr>
      <w:r w:rsidRPr="00525ED4">
        <w:rPr>
          <w:b/>
          <w:sz w:val="20"/>
          <w:szCs w:val="20"/>
        </w:rPr>
        <w:t>FELDOLGOZÁS MÓDJA</w:t>
      </w:r>
      <w:r w:rsidRPr="00525ED4">
        <w:rPr>
          <w:b/>
          <w:sz w:val="20"/>
          <w:szCs w:val="20"/>
        </w:rPr>
        <w:tab/>
      </w:r>
      <w:r w:rsidR="00C41BC4" w:rsidRPr="00C41BC4">
        <w:rPr>
          <w:bCs/>
          <w:sz w:val="20"/>
          <w:szCs w:val="20"/>
        </w:rPr>
        <w:t>A WHITE CEMENT GLETT-et öntsük a szükséges vízmennyiséghez, majd keverjük csomómentesre alacsony fordulatszámú fúrógépbe fogott keverőszárral. Hagyjuk állni az anyagot 3–5 percig, majd még egyszer keverjük át. 0,5–3 mm rétegvastagságban húzzuk fel egy rétegben, rozsdamentes glettvassal vagy simítószerszámmal. A bekevert anyagot javasolt kb. 2–3 óra alatt felhasználni. Vakológépes felhordásra is alkalmas.</w:t>
      </w:r>
    </w:p>
    <w:p w14:paraId="0D7E9957" w14:textId="530FE579" w:rsidR="00C41BC4" w:rsidRPr="00C41BC4" w:rsidRDefault="00F2118D" w:rsidP="00C41BC4">
      <w:pPr>
        <w:spacing w:line="240" w:lineRule="auto"/>
        <w:ind w:left="2552" w:hanging="2552"/>
        <w:jc w:val="both"/>
        <w:rPr>
          <w:bCs/>
          <w:sz w:val="20"/>
          <w:szCs w:val="20"/>
        </w:rPr>
      </w:pPr>
      <w:r>
        <w:rPr>
          <w:b/>
          <w:sz w:val="20"/>
          <w:szCs w:val="20"/>
        </w:rPr>
        <w:t>FONTOS TUDNIVALÓK</w:t>
      </w:r>
      <w:r>
        <w:rPr>
          <w:b/>
          <w:sz w:val="20"/>
          <w:szCs w:val="20"/>
        </w:rPr>
        <w:tab/>
      </w:r>
      <w:r w:rsidR="00C41BC4" w:rsidRPr="00C41BC4">
        <w:rPr>
          <w:bCs/>
          <w:sz w:val="20"/>
          <w:szCs w:val="20"/>
        </w:rPr>
        <w:t>Felhordása és száradási ideje alatt a felületi és léghőmérséklet +5 - +25 °C között legyen</w:t>
      </w:r>
      <w:r w:rsidR="00C41BC4">
        <w:rPr>
          <w:bCs/>
          <w:sz w:val="20"/>
          <w:szCs w:val="20"/>
        </w:rPr>
        <w:t>.</w:t>
      </w:r>
      <w:r w:rsidR="00C41BC4" w:rsidRPr="00C41BC4">
        <w:rPr>
          <w:bCs/>
          <w:sz w:val="20"/>
          <w:szCs w:val="20"/>
        </w:rPr>
        <w:t xml:space="preserve"> A glett száradásáig a felületet nem érheti fagy és erős huzathatás. Termékeinkhez a feltüntetett víz mennyiségén kívül más anyagot hozzáadni nem szabad. A rétegvastagság, hőmérséklet és a páratartalom befolyásolja a száradási időt. Magas páratartalom és alacsony hőmérséklet késlelteti, magas hőmérséklet gyorsítja a kötést és a szilárdulást. Fal és mennyezetfűtés esetén a fűtésrendszert a glett teljes szilárdulásáig TILOS üzemeltetni. A termék felhasználása szakértelmet igényel! Kérjük, hogy a tájékoztatóban leírtakat gondosan olvassák át, munkavégzés közben vegyék figyelembe, mert a gyártó csak a technológiai előírásoknak megfelelően, szakember által, az előírt jó minőségű felületre felhordott termékre vállal garanciát! Feltétlenül tartsák be az idevonatkozó szakmai előírásokat! A kivitelezésből, illetve annak körülményeiből (felület, szerszám, </w:t>
      </w:r>
      <w:r w:rsidR="00C97944" w:rsidRPr="00C41BC4">
        <w:rPr>
          <w:bCs/>
          <w:sz w:val="20"/>
          <w:szCs w:val="20"/>
        </w:rPr>
        <w:t>időjárás</w:t>
      </w:r>
      <w:r w:rsidR="00C41BC4" w:rsidRPr="00C41BC4">
        <w:rPr>
          <w:bCs/>
          <w:sz w:val="20"/>
          <w:szCs w:val="20"/>
        </w:rPr>
        <w:t xml:space="preserve"> stb.), hiányosságaiból eredő károkért a felelősség nem a gyártót terheli!</w:t>
      </w:r>
    </w:p>
    <w:p w14:paraId="4CCD621E" w14:textId="77777777" w:rsidR="00085BC8" w:rsidRPr="00064836" w:rsidRDefault="00085BC8" w:rsidP="004D7353">
      <w:pPr>
        <w:spacing w:line="240" w:lineRule="auto"/>
        <w:ind w:left="2835" w:hanging="2835"/>
        <w:rPr>
          <w:b/>
          <w:sz w:val="20"/>
          <w:szCs w:val="20"/>
        </w:rPr>
      </w:pPr>
      <w:r w:rsidRPr="00064836">
        <w:rPr>
          <w:b/>
          <w:sz w:val="20"/>
          <w:szCs w:val="20"/>
        </w:rPr>
        <w:t>MINŐSÍTÉSEK</w:t>
      </w:r>
      <w:r w:rsidR="00B41C6E">
        <w:rPr>
          <w:b/>
          <w:sz w:val="20"/>
          <w:szCs w:val="20"/>
        </w:rPr>
        <w:t>/</w:t>
      </w:r>
      <w:r w:rsidRPr="00064836">
        <w:rPr>
          <w:b/>
          <w:sz w:val="20"/>
          <w:szCs w:val="20"/>
        </w:rPr>
        <w:t xml:space="preserve"> TERMÉKSZABVÁNY</w:t>
      </w:r>
    </w:p>
    <w:p w14:paraId="7E39E59F" w14:textId="77777777" w:rsidR="007F728A" w:rsidRDefault="004D7353" w:rsidP="00136600">
      <w:pPr>
        <w:spacing w:line="240" w:lineRule="auto"/>
        <w:ind w:left="2552" w:hanging="2552"/>
        <w:jc w:val="both"/>
        <w:rPr>
          <w:bCs/>
          <w:sz w:val="20"/>
          <w:szCs w:val="20"/>
        </w:rPr>
      </w:pPr>
      <w:r w:rsidRPr="001302E6">
        <w:rPr>
          <w:bCs/>
          <w:sz w:val="20"/>
          <w:szCs w:val="20"/>
        </w:rPr>
        <w:tab/>
      </w:r>
      <w:r w:rsidR="00057A9F" w:rsidRPr="00057A9F">
        <w:rPr>
          <w:bCs/>
          <w:sz w:val="20"/>
          <w:szCs w:val="20"/>
        </w:rPr>
        <w:t xml:space="preserve">MSZ EN </w:t>
      </w:r>
      <w:r w:rsidR="00744744">
        <w:rPr>
          <w:bCs/>
          <w:sz w:val="20"/>
          <w:szCs w:val="20"/>
        </w:rPr>
        <w:t>998-1:2017</w:t>
      </w:r>
      <w:r w:rsidR="00136600">
        <w:rPr>
          <w:bCs/>
          <w:sz w:val="20"/>
          <w:szCs w:val="20"/>
        </w:rPr>
        <w:t>.</w:t>
      </w:r>
    </w:p>
    <w:p w14:paraId="0E2B04F8" w14:textId="77777777" w:rsidR="0087167D" w:rsidRPr="00064836" w:rsidRDefault="004D7353" w:rsidP="00064836">
      <w:pPr>
        <w:spacing w:line="240" w:lineRule="auto"/>
        <w:ind w:left="2552" w:hanging="2552"/>
        <w:rPr>
          <w:b/>
          <w:sz w:val="20"/>
          <w:szCs w:val="20"/>
        </w:rPr>
      </w:pPr>
      <w:r w:rsidRPr="00064836">
        <w:rPr>
          <w:b/>
          <w:sz w:val="20"/>
          <w:szCs w:val="20"/>
        </w:rPr>
        <w:t>MŰSZAKI ALAPADATOK</w:t>
      </w:r>
      <w:r w:rsidRPr="00064836">
        <w:rPr>
          <w:b/>
          <w:sz w:val="20"/>
          <w:szCs w:val="20"/>
        </w:rPr>
        <w:tab/>
      </w:r>
    </w:p>
    <w:tbl>
      <w:tblPr>
        <w:tblStyle w:val="Rcsostblzat"/>
        <w:tblW w:w="0" w:type="auto"/>
        <w:tblInd w:w="2835" w:type="dxa"/>
        <w:tblLook w:val="04A0" w:firstRow="1" w:lastRow="0" w:firstColumn="1" w:lastColumn="0" w:noHBand="0" w:noVBand="1"/>
      </w:tblPr>
      <w:tblGrid>
        <w:gridCol w:w="2113"/>
        <w:gridCol w:w="5499"/>
      </w:tblGrid>
      <w:tr w:rsidR="0087167D" w14:paraId="52C0B650" w14:textId="77777777" w:rsidTr="0087167D">
        <w:tc>
          <w:tcPr>
            <w:tcW w:w="2113" w:type="dxa"/>
          </w:tcPr>
          <w:p w14:paraId="236A497B" w14:textId="77777777" w:rsidR="0087167D" w:rsidRPr="0087167D" w:rsidRDefault="0087167D" w:rsidP="004D7353">
            <w:pPr>
              <w:rPr>
                <w:b/>
                <w:sz w:val="20"/>
                <w:szCs w:val="20"/>
              </w:rPr>
            </w:pPr>
            <w:r w:rsidRPr="0087167D">
              <w:rPr>
                <w:b/>
                <w:sz w:val="20"/>
                <w:szCs w:val="20"/>
              </w:rPr>
              <w:t>Anyagigény</w:t>
            </w:r>
            <w:r w:rsidR="00F3053A">
              <w:rPr>
                <w:b/>
                <w:sz w:val="20"/>
                <w:szCs w:val="20"/>
              </w:rPr>
              <w:t>:</w:t>
            </w:r>
          </w:p>
        </w:tc>
        <w:tc>
          <w:tcPr>
            <w:tcW w:w="5499" w:type="dxa"/>
          </w:tcPr>
          <w:p w14:paraId="3F91ADAE" w14:textId="77777777" w:rsidR="0087167D" w:rsidRPr="00057A9F" w:rsidRDefault="00136600" w:rsidP="00057A9F">
            <w:pPr>
              <w:rPr>
                <w:bCs/>
                <w:sz w:val="20"/>
                <w:szCs w:val="20"/>
              </w:rPr>
            </w:pPr>
            <w:r>
              <w:rPr>
                <w:bCs/>
                <w:sz w:val="20"/>
                <w:szCs w:val="20"/>
              </w:rPr>
              <w:t>1,5 kg/m</w:t>
            </w:r>
            <w:r>
              <w:rPr>
                <w:bCs/>
                <w:sz w:val="20"/>
                <w:szCs w:val="20"/>
                <w:vertAlign w:val="superscript"/>
              </w:rPr>
              <w:t>2</w:t>
            </w:r>
            <w:r>
              <w:rPr>
                <w:bCs/>
                <w:sz w:val="20"/>
                <w:szCs w:val="20"/>
              </w:rPr>
              <w:t>/mm/réteg</w:t>
            </w:r>
            <w:r w:rsidR="00107D95">
              <w:rPr>
                <w:bCs/>
                <w:sz w:val="20"/>
                <w:szCs w:val="20"/>
              </w:rPr>
              <w:t>.</w:t>
            </w:r>
            <w:r w:rsidR="00057A9F" w:rsidRPr="00057A9F">
              <w:rPr>
                <w:bCs/>
                <w:sz w:val="20"/>
                <w:szCs w:val="20"/>
              </w:rPr>
              <w:br/>
              <w:t xml:space="preserve">Az </w:t>
            </w:r>
            <w:r w:rsidR="0087167D" w:rsidRPr="00057A9F">
              <w:rPr>
                <w:bCs/>
                <w:sz w:val="20"/>
                <w:szCs w:val="20"/>
              </w:rPr>
              <w:t>anyagigény tájékoztató jellegű, kis mértékben eltérhet a megadott mennyiségtől, a munkavégzési technológiától és az alaptól függően</w:t>
            </w:r>
            <w:r w:rsidR="00C714D8" w:rsidRPr="00057A9F">
              <w:rPr>
                <w:bCs/>
                <w:sz w:val="20"/>
                <w:szCs w:val="20"/>
              </w:rPr>
              <w:t>.</w:t>
            </w:r>
          </w:p>
        </w:tc>
      </w:tr>
      <w:tr w:rsidR="0087167D" w14:paraId="4F948ED2" w14:textId="77777777" w:rsidTr="0087167D">
        <w:tc>
          <w:tcPr>
            <w:tcW w:w="2113" w:type="dxa"/>
          </w:tcPr>
          <w:p w14:paraId="461F0D8E" w14:textId="77777777" w:rsidR="0087167D" w:rsidRPr="0087167D" w:rsidRDefault="00057A9F" w:rsidP="004D7353">
            <w:pPr>
              <w:rPr>
                <w:b/>
                <w:sz w:val="20"/>
                <w:szCs w:val="20"/>
              </w:rPr>
            </w:pPr>
            <w:r>
              <w:rPr>
                <w:b/>
                <w:sz w:val="20"/>
                <w:szCs w:val="20"/>
              </w:rPr>
              <w:t>Bekeverés</w:t>
            </w:r>
            <w:r w:rsidR="00F3053A">
              <w:rPr>
                <w:b/>
                <w:sz w:val="20"/>
                <w:szCs w:val="20"/>
              </w:rPr>
              <w:t>:</w:t>
            </w:r>
          </w:p>
        </w:tc>
        <w:tc>
          <w:tcPr>
            <w:tcW w:w="5499" w:type="dxa"/>
          </w:tcPr>
          <w:p w14:paraId="3057C90B" w14:textId="77777777" w:rsidR="00136600" w:rsidRPr="00136600" w:rsidRDefault="00136600" w:rsidP="00136600">
            <w:pPr>
              <w:rPr>
                <w:bCs/>
                <w:sz w:val="20"/>
                <w:szCs w:val="20"/>
              </w:rPr>
            </w:pPr>
            <w:r w:rsidRPr="00136600">
              <w:rPr>
                <w:bCs/>
                <w:sz w:val="20"/>
                <w:szCs w:val="20"/>
              </w:rPr>
              <w:t>7,5 l–10 l csapvíz 1 zsák/25 kg glettanyaghoz.</w:t>
            </w:r>
          </w:p>
          <w:p w14:paraId="32C87746" w14:textId="77777777" w:rsidR="0087167D" w:rsidRPr="001302E6" w:rsidRDefault="00136600" w:rsidP="00136600">
            <w:pPr>
              <w:rPr>
                <w:bCs/>
                <w:sz w:val="20"/>
                <w:szCs w:val="20"/>
              </w:rPr>
            </w:pPr>
            <w:r w:rsidRPr="00136600">
              <w:rPr>
                <w:bCs/>
                <w:sz w:val="20"/>
                <w:szCs w:val="20"/>
              </w:rPr>
              <w:t>1,5 l–2 l csapvíz 1 zsák/5 kg glettanyaghoz.</w:t>
            </w:r>
          </w:p>
        </w:tc>
      </w:tr>
      <w:tr w:rsidR="0087167D" w14:paraId="2982959F" w14:textId="77777777" w:rsidTr="0087167D">
        <w:tc>
          <w:tcPr>
            <w:tcW w:w="2113" w:type="dxa"/>
          </w:tcPr>
          <w:p w14:paraId="1137F8B1" w14:textId="77777777" w:rsidR="0087167D" w:rsidRPr="0087167D" w:rsidRDefault="0087167D" w:rsidP="004D7353">
            <w:pPr>
              <w:rPr>
                <w:b/>
                <w:sz w:val="20"/>
                <w:szCs w:val="20"/>
              </w:rPr>
            </w:pPr>
            <w:r w:rsidRPr="0087167D">
              <w:rPr>
                <w:b/>
                <w:sz w:val="20"/>
                <w:szCs w:val="20"/>
              </w:rPr>
              <w:t>Felhordás eszközei</w:t>
            </w:r>
            <w:r w:rsidR="00F3053A">
              <w:rPr>
                <w:b/>
                <w:sz w:val="20"/>
                <w:szCs w:val="20"/>
              </w:rPr>
              <w:t>:</w:t>
            </w:r>
          </w:p>
        </w:tc>
        <w:tc>
          <w:tcPr>
            <w:tcW w:w="5499" w:type="dxa"/>
          </w:tcPr>
          <w:p w14:paraId="2B4C4F15" w14:textId="77777777" w:rsidR="0087167D" w:rsidRPr="00C147CA" w:rsidRDefault="00136600" w:rsidP="004D7353">
            <w:pPr>
              <w:rPr>
                <w:bCs/>
                <w:sz w:val="20"/>
                <w:szCs w:val="20"/>
              </w:rPr>
            </w:pPr>
            <w:r>
              <w:rPr>
                <w:bCs/>
                <w:sz w:val="20"/>
                <w:szCs w:val="20"/>
              </w:rPr>
              <w:t>kézi és gépi.</w:t>
            </w:r>
          </w:p>
        </w:tc>
      </w:tr>
      <w:tr w:rsidR="0087167D" w14:paraId="044BD9E2" w14:textId="77777777" w:rsidTr="0087167D">
        <w:tc>
          <w:tcPr>
            <w:tcW w:w="2113" w:type="dxa"/>
          </w:tcPr>
          <w:p w14:paraId="11B2C90F" w14:textId="77777777" w:rsidR="0087167D" w:rsidRPr="0087167D" w:rsidRDefault="0087167D" w:rsidP="004D7353">
            <w:pPr>
              <w:rPr>
                <w:b/>
                <w:sz w:val="20"/>
                <w:szCs w:val="20"/>
              </w:rPr>
            </w:pPr>
            <w:r w:rsidRPr="0087167D">
              <w:rPr>
                <w:b/>
                <w:sz w:val="20"/>
                <w:szCs w:val="20"/>
              </w:rPr>
              <w:t>Kültéri/Beltéri</w:t>
            </w:r>
            <w:r w:rsidR="00F3053A">
              <w:rPr>
                <w:b/>
                <w:sz w:val="20"/>
                <w:szCs w:val="20"/>
              </w:rPr>
              <w:t>:</w:t>
            </w:r>
          </w:p>
        </w:tc>
        <w:tc>
          <w:tcPr>
            <w:tcW w:w="5499" w:type="dxa"/>
          </w:tcPr>
          <w:p w14:paraId="12D80531" w14:textId="77777777" w:rsidR="0087167D" w:rsidRPr="001302E6" w:rsidRDefault="00136600" w:rsidP="004D7353">
            <w:pPr>
              <w:rPr>
                <w:bCs/>
                <w:sz w:val="20"/>
                <w:szCs w:val="20"/>
              </w:rPr>
            </w:pPr>
            <w:r>
              <w:rPr>
                <w:bCs/>
                <w:sz w:val="20"/>
                <w:szCs w:val="20"/>
              </w:rPr>
              <w:t>k</w:t>
            </w:r>
            <w:r w:rsidR="00303E5B">
              <w:rPr>
                <w:bCs/>
                <w:sz w:val="20"/>
                <w:szCs w:val="20"/>
              </w:rPr>
              <w:t>ül</w:t>
            </w:r>
            <w:r w:rsidR="00057A9F">
              <w:rPr>
                <w:bCs/>
                <w:sz w:val="20"/>
                <w:szCs w:val="20"/>
              </w:rPr>
              <w:t>téri</w:t>
            </w:r>
            <w:r w:rsidR="00303E5B">
              <w:rPr>
                <w:bCs/>
                <w:sz w:val="20"/>
                <w:szCs w:val="20"/>
              </w:rPr>
              <w:t xml:space="preserve"> és </w:t>
            </w:r>
            <w:r w:rsidR="0087167D" w:rsidRPr="00C147CA">
              <w:rPr>
                <w:bCs/>
                <w:sz w:val="20"/>
                <w:szCs w:val="20"/>
              </w:rPr>
              <w:t>beltéri felhasználásra</w:t>
            </w:r>
            <w:r w:rsidR="00C714D8">
              <w:rPr>
                <w:bCs/>
                <w:sz w:val="20"/>
                <w:szCs w:val="20"/>
              </w:rPr>
              <w:t>.</w:t>
            </w:r>
          </w:p>
        </w:tc>
      </w:tr>
      <w:tr w:rsidR="0087167D" w14:paraId="28BAFA93" w14:textId="77777777" w:rsidTr="0087167D">
        <w:tc>
          <w:tcPr>
            <w:tcW w:w="2113" w:type="dxa"/>
          </w:tcPr>
          <w:p w14:paraId="6CF2659A" w14:textId="77777777" w:rsidR="0087167D" w:rsidRPr="0087167D" w:rsidRDefault="0087167D" w:rsidP="004D7353">
            <w:pPr>
              <w:rPr>
                <w:b/>
                <w:sz w:val="20"/>
                <w:szCs w:val="20"/>
              </w:rPr>
            </w:pPr>
            <w:r w:rsidRPr="0087167D">
              <w:rPr>
                <w:b/>
                <w:sz w:val="20"/>
                <w:szCs w:val="20"/>
              </w:rPr>
              <w:t>Hőmérséklet</w:t>
            </w:r>
            <w:r w:rsidR="00F3053A">
              <w:rPr>
                <w:b/>
                <w:sz w:val="20"/>
                <w:szCs w:val="20"/>
              </w:rPr>
              <w:t>:</w:t>
            </w:r>
          </w:p>
        </w:tc>
        <w:tc>
          <w:tcPr>
            <w:tcW w:w="5499" w:type="dxa"/>
          </w:tcPr>
          <w:p w14:paraId="2A30AF1F" w14:textId="77777777" w:rsidR="0087167D" w:rsidRDefault="0087167D" w:rsidP="004D7353">
            <w:pPr>
              <w:rPr>
                <w:bCs/>
                <w:sz w:val="20"/>
                <w:szCs w:val="20"/>
              </w:rPr>
            </w:pPr>
            <w:r>
              <w:rPr>
                <w:bCs/>
                <w:sz w:val="20"/>
                <w:szCs w:val="20"/>
              </w:rPr>
              <w:t>+5 - +25°C</w:t>
            </w:r>
            <w:r w:rsidR="006C5B52">
              <w:rPr>
                <w:bCs/>
                <w:sz w:val="20"/>
                <w:szCs w:val="20"/>
              </w:rPr>
              <w:t xml:space="preserve"> között</w:t>
            </w:r>
            <w:r w:rsidR="00C714D8">
              <w:rPr>
                <w:bCs/>
                <w:sz w:val="20"/>
                <w:szCs w:val="20"/>
              </w:rPr>
              <w:t>.</w:t>
            </w:r>
          </w:p>
        </w:tc>
      </w:tr>
      <w:tr w:rsidR="0087167D" w14:paraId="5FCC8670" w14:textId="77777777" w:rsidTr="0087167D">
        <w:tc>
          <w:tcPr>
            <w:tcW w:w="2113" w:type="dxa"/>
          </w:tcPr>
          <w:p w14:paraId="282BA9BA" w14:textId="77777777" w:rsidR="0087167D" w:rsidRPr="0087167D" w:rsidRDefault="0087167D" w:rsidP="004D7353">
            <w:pPr>
              <w:rPr>
                <w:b/>
                <w:sz w:val="20"/>
                <w:szCs w:val="20"/>
              </w:rPr>
            </w:pPr>
            <w:r w:rsidRPr="0087167D">
              <w:rPr>
                <w:b/>
                <w:sz w:val="20"/>
                <w:szCs w:val="20"/>
              </w:rPr>
              <w:t>Páratartalom</w:t>
            </w:r>
            <w:r w:rsidR="00F3053A">
              <w:rPr>
                <w:b/>
                <w:sz w:val="20"/>
                <w:szCs w:val="20"/>
              </w:rPr>
              <w:t>:</w:t>
            </w:r>
          </w:p>
        </w:tc>
        <w:tc>
          <w:tcPr>
            <w:tcW w:w="5499" w:type="dxa"/>
          </w:tcPr>
          <w:p w14:paraId="2E1B139F" w14:textId="77777777" w:rsidR="0087167D" w:rsidRDefault="006C5B52" w:rsidP="004D7353">
            <w:pPr>
              <w:rPr>
                <w:bCs/>
                <w:sz w:val="20"/>
                <w:szCs w:val="20"/>
              </w:rPr>
            </w:pPr>
            <w:r>
              <w:rPr>
                <w:bCs/>
                <w:sz w:val="20"/>
                <w:szCs w:val="20"/>
              </w:rPr>
              <w:t>a megadott értékek 42% relatív páratartalom mellett 20°C-on értendőek</w:t>
            </w:r>
            <w:r w:rsidR="00C714D8">
              <w:rPr>
                <w:bCs/>
                <w:sz w:val="20"/>
                <w:szCs w:val="20"/>
              </w:rPr>
              <w:t>.</w:t>
            </w:r>
          </w:p>
        </w:tc>
      </w:tr>
      <w:tr w:rsidR="00136600" w14:paraId="4CDB3C49" w14:textId="77777777" w:rsidTr="0087167D">
        <w:tc>
          <w:tcPr>
            <w:tcW w:w="2113" w:type="dxa"/>
          </w:tcPr>
          <w:p w14:paraId="444E620F" w14:textId="77777777" w:rsidR="00136600" w:rsidRPr="0087167D" w:rsidRDefault="00136600" w:rsidP="004D7353">
            <w:pPr>
              <w:rPr>
                <w:b/>
                <w:sz w:val="20"/>
                <w:szCs w:val="20"/>
              </w:rPr>
            </w:pPr>
            <w:r>
              <w:rPr>
                <w:b/>
                <w:sz w:val="20"/>
                <w:szCs w:val="20"/>
              </w:rPr>
              <w:t>Tapadószilárdság:</w:t>
            </w:r>
          </w:p>
        </w:tc>
        <w:tc>
          <w:tcPr>
            <w:tcW w:w="5499" w:type="dxa"/>
          </w:tcPr>
          <w:p w14:paraId="0E14BE75" w14:textId="77777777" w:rsidR="00136600" w:rsidRDefault="00136600" w:rsidP="004D7353">
            <w:pPr>
              <w:rPr>
                <w:bCs/>
                <w:sz w:val="20"/>
                <w:szCs w:val="20"/>
              </w:rPr>
            </w:pPr>
            <w:r w:rsidRPr="00136600">
              <w:rPr>
                <w:bCs/>
                <w:sz w:val="20"/>
                <w:szCs w:val="20"/>
              </w:rPr>
              <w:t>≥0,7 N/mm</w:t>
            </w:r>
            <w:r>
              <w:rPr>
                <w:bCs/>
                <w:sz w:val="20"/>
                <w:szCs w:val="20"/>
                <w:vertAlign w:val="superscript"/>
              </w:rPr>
              <w:t>2</w:t>
            </w:r>
            <w:r w:rsidRPr="00136600">
              <w:rPr>
                <w:bCs/>
                <w:sz w:val="20"/>
                <w:szCs w:val="20"/>
              </w:rPr>
              <w:t>.</w:t>
            </w:r>
          </w:p>
        </w:tc>
      </w:tr>
      <w:tr w:rsidR="00136600" w14:paraId="4D3ACE17" w14:textId="77777777" w:rsidTr="0087167D">
        <w:tc>
          <w:tcPr>
            <w:tcW w:w="2113" w:type="dxa"/>
          </w:tcPr>
          <w:p w14:paraId="11A495B0" w14:textId="77777777" w:rsidR="00136600" w:rsidRPr="0087167D" w:rsidRDefault="00136600" w:rsidP="004D7353">
            <w:pPr>
              <w:rPr>
                <w:b/>
                <w:sz w:val="20"/>
                <w:szCs w:val="20"/>
              </w:rPr>
            </w:pPr>
            <w:r>
              <w:rPr>
                <w:b/>
                <w:sz w:val="20"/>
                <w:szCs w:val="20"/>
              </w:rPr>
              <w:t>Rétegvastagság:</w:t>
            </w:r>
          </w:p>
        </w:tc>
        <w:tc>
          <w:tcPr>
            <w:tcW w:w="5499" w:type="dxa"/>
          </w:tcPr>
          <w:p w14:paraId="720F3A41" w14:textId="77777777" w:rsidR="00136600" w:rsidRDefault="00136600" w:rsidP="004D7353">
            <w:pPr>
              <w:rPr>
                <w:bCs/>
                <w:sz w:val="20"/>
                <w:szCs w:val="20"/>
              </w:rPr>
            </w:pPr>
            <w:r>
              <w:rPr>
                <w:bCs/>
                <w:sz w:val="20"/>
                <w:szCs w:val="20"/>
              </w:rPr>
              <w:t>0,5-3 mm/réteg</w:t>
            </w:r>
            <w:r w:rsidR="00107D95">
              <w:rPr>
                <w:bCs/>
                <w:sz w:val="20"/>
                <w:szCs w:val="20"/>
              </w:rPr>
              <w:t>.</w:t>
            </w:r>
          </w:p>
        </w:tc>
      </w:tr>
      <w:tr w:rsidR="0087167D" w14:paraId="14165E06" w14:textId="77777777" w:rsidTr="0087167D">
        <w:tc>
          <w:tcPr>
            <w:tcW w:w="2113" w:type="dxa"/>
          </w:tcPr>
          <w:p w14:paraId="64013992" w14:textId="77777777" w:rsidR="0087167D" w:rsidRPr="0087167D" w:rsidRDefault="00057A9F" w:rsidP="004D7353">
            <w:pPr>
              <w:rPr>
                <w:b/>
                <w:sz w:val="20"/>
                <w:szCs w:val="20"/>
              </w:rPr>
            </w:pPr>
            <w:r>
              <w:rPr>
                <w:b/>
                <w:sz w:val="20"/>
                <w:szCs w:val="20"/>
              </w:rPr>
              <w:t>Bedolgoz</w:t>
            </w:r>
            <w:r w:rsidR="00136600">
              <w:rPr>
                <w:b/>
                <w:sz w:val="20"/>
                <w:szCs w:val="20"/>
              </w:rPr>
              <w:t>ási</w:t>
            </w:r>
            <w:r>
              <w:rPr>
                <w:b/>
                <w:sz w:val="20"/>
                <w:szCs w:val="20"/>
              </w:rPr>
              <w:t xml:space="preserve"> idő</w:t>
            </w:r>
            <w:r w:rsidR="00F3053A">
              <w:rPr>
                <w:b/>
                <w:sz w:val="20"/>
                <w:szCs w:val="20"/>
              </w:rPr>
              <w:t>:</w:t>
            </w:r>
          </w:p>
        </w:tc>
        <w:tc>
          <w:tcPr>
            <w:tcW w:w="5499" w:type="dxa"/>
          </w:tcPr>
          <w:p w14:paraId="1E0A817D" w14:textId="77777777" w:rsidR="0087167D" w:rsidRPr="00B16E1E" w:rsidRDefault="00136600" w:rsidP="004D7353">
            <w:pPr>
              <w:rPr>
                <w:bCs/>
                <w:sz w:val="20"/>
                <w:szCs w:val="20"/>
              </w:rPr>
            </w:pPr>
            <w:r>
              <w:rPr>
                <w:bCs/>
                <w:sz w:val="20"/>
                <w:szCs w:val="20"/>
              </w:rPr>
              <w:t>2-</w:t>
            </w:r>
            <w:r w:rsidR="00057A9F">
              <w:rPr>
                <w:bCs/>
                <w:sz w:val="20"/>
                <w:szCs w:val="20"/>
              </w:rPr>
              <w:t>3 óra</w:t>
            </w:r>
            <w:r w:rsidR="00C714D8">
              <w:rPr>
                <w:bCs/>
                <w:sz w:val="20"/>
                <w:szCs w:val="20"/>
              </w:rPr>
              <w:t>.</w:t>
            </w:r>
          </w:p>
        </w:tc>
      </w:tr>
      <w:tr w:rsidR="0087167D" w14:paraId="7422E01A" w14:textId="77777777" w:rsidTr="0087167D">
        <w:tc>
          <w:tcPr>
            <w:tcW w:w="2113" w:type="dxa"/>
          </w:tcPr>
          <w:p w14:paraId="3921B5D7" w14:textId="77777777" w:rsidR="0087167D" w:rsidRPr="0087167D" w:rsidRDefault="00136600" w:rsidP="004D7353">
            <w:pPr>
              <w:rPr>
                <w:b/>
                <w:sz w:val="20"/>
                <w:szCs w:val="20"/>
              </w:rPr>
            </w:pPr>
            <w:r>
              <w:rPr>
                <w:b/>
                <w:sz w:val="20"/>
                <w:szCs w:val="20"/>
              </w:rPr>
              <w:t>Száradási idő</w:t>
            </w:r>
            <w:r w:rsidR="00F3053A">
              <w:rPr>
                <w:b/>
                <w:sz w:val="20"/>
                <w:szCs w:val="20"/>
              </w:rPr>
              <w:t>:</w:t>
            </w:r>
          </w:p>
        </w:tc>
        <w:tc>
          <w:tcPr>
            <w:tcW w:w="5499" w:type="dxa"/>
          </w:tcPr>
          <w:p w14:paraId="5D49D2A5" w14:textId="77777777" w:rsidR="0087167D" w:rsidRPr="00B16E1E" w:rsidRDefault="006451CA" w:rsidP="004D7353">
            <w:pPr>
              <w:rPr>
                <w:bCs/>
                <w:sz w:val="20"/>
                <w:szCs w:val="20"/>
              </w:rPr>
            </w:pPr>
            <w:r>
              <w:rPr>
                <w:bCs/>
                <w:sz w:val="20"/>
                <w:szCs w:val="20"/>
              </w:rPr>
              <w:t>~6 óra, réteg vastagságtól függően.</w:t>
            </w:r>
          </w:p>
        </w:tc>
      </w:tr>
      <w:tr w:rsidR="00F3053A" w14:paraId="6A3866BC" w14:textId="77777777" w:rsidTr="0087167D">
        <w:tc>
          <w:tcPr>
            <w:tcW w:w="2113" w:type="dxa"/>
          </w:tcPr>
          <w:p w14:paraId="78FC2F51" w14:textId="77777777" w:rsidR="00F3053A" w:rsidRDefault="00057A9F" w:rsidP="004D7353">
            <w:pPr>
              <w:rPr>
                <w:b/>
                <w:sz w:val="20"/>
                <w:szCs w:val="20"/>
              </w:rPr>
            </w:pPr>
            <w:r>
              <w:rPr>
                <w:b/>
                <w:sz w:val="20"/>
                <w:szCs w:val="20"/>
              </w:rPr>
              <w:t>Tapadószilárdság</w:t>
            </w:r>
            <w:r w:rsidR="00F3053A">
              <w:rPr>
                <w:b/>
                <w:sz w:val="20"/>
                <w:szCs w:val="20"/>
              </w:rPr>
              <w:t>:</w:t>
            </w:r>
          </w:p>
        </w:tc>
        <w:tc>
          <w:tcPr>
            <w:tcW w:w="5499" w:type="dxa"/>
          </w:tcPr>
          <w:p w14:paraId="7DB02996" w14:textId="77777777" w:rsidR="00F3053A" w:rsidRPr="006451CA" w:rsidRDefault="006451CA" w:rsidP="004D7353">
            <w:pPr>
              <w:rPr>
                <w:bCs/>
                <w:sz w:val="20"/>
                <w:szCs w:val="20"/>
              </w:rPr>
            </w:pPr>
            <w:r>
              <w:rPr>
                <w:bCs/>
                <w:sz w:val="20"/>
                <w:szCs w:val="20"/>
              </w:rPr>
              <w:t>~24 óra múlva, a réteg vastagságtól függően.</w:t>
            </w:r>
          </w:p>
        </w:tc>
      </w:tr>
      <w:tr w:rsidR="006451CA" w14:paraId="500C0707" w14:textId="77777777" w:rsidTr="0087167D">
        <w:tc>
          <w:tcPr>
            <w:tcW w:w="2113" w:type="dxa"/>
          </w:tcPr>
          <w:p w14:paraId="10CA3542" w14:textId="77777777" w:rsidR="006451CA" w:rsidRDefault="006451CA" w:rsidP="006451CA">
            <w:pPr>
              <w:rPr>
                <w:b/>
                <w:sz w:val="20"/>
                <w:szCs w:val="20"/>
              </w:rPr>
            </w:pPr>
            <w:r>
              <w:rPr>
                <w:b/>
                <w:sz w:val="20"/>
                <w:szCs w:val="20"/>
              </w:rPr>
              <w:t>Burkolható:</w:t>
            </w:r>
          </w:p>
        </w:tc>
        <w:tc>
          <w:tcPr>
            <w:tcW w:w="5499" w:type="dxa"/>
          </w:tcPr>
          <w:p w14:paraId="3869DB3A" w14:textId="77777777" w:rsidR="006451CA" w:rsidRPr="006451CA" w:rsidRDefault="006451CA" w:rsidP="006451CA">
            <w:pPr>
              <w:rPr>
                <w:bCs/>
                <w:sz w:val="20"/>
                <w:szCs w:val="20"/>
              </w:rPr>
            </w:pPr>
            <w:r>
              <w:rPr>
                <w:bCs/>
                <w:sz w:val="20"/>
                <w:szCs w:val="20"/>
              </w:rPr>
              <w:t>~24 óra múlva, a réteg vastagságtól függően.</w:t>
            </w:r>
          </w:p>
        </w:tc>
      </w:tr>
      <w:tr w:rsidR="006451CA" w14:paraId="6293D220" w14:textId="77777777" w:rsidTr="0087167D">
        <w:tc>
          <w:tcPr>
            <w:tcW w:w="2113" w:type="dxa"/>
          </w:tcPr>
          <w:p w14:paraId="787671E7" w14:textId="77777777" w:rsidR="006451CA" w:rsidRDefault="00276BF3" w:rsidP="006451CA">
            <w:pPr>
              <w:rPr>
                <w:b/>
                <w:sz w:val="20"/>
                <w:szCs w:val="20"/>
              </w:rPr>
            </w:pPr>
            <w:r>
              <w:rPr>
                <w:b/>
                <w:sz w:val="20"/>
                <w:szCs w:val="20"/>
              </w:rPr>
              <w:t>Csiszolhatóság:</w:t>
            </w:r>
          </w:p>
        </w:tc>
        <w:tc>
          <w:tcPr>
            <w:tcW w:w="5499" w:type="dxa"/>
          </w:tcPr>
          <w:p w14:paraId="72FCAD5E" w14:textId="77777777" w:rsidR="006451CA" w:rsidRDefault="00276BF3" w:rsidP="006451CA">
            <w:pPr>
              <w:rPr>
                <w:bCs/>
                <w:sz w:val="20"/>
                <w:szCs w:val="20"/>
              </w:rPr>
            </w:pPr>
            <w:r>
              <w:rPr>
                <w:bCs/>
                <w:sz w:val="20"/>
                <w:szCs w:val="20"/>
              </w:rPr>
              <w:t>~6 óra múlva, a réteg vastagságtól függően.</w:t>
            </w:r>
          </w:p>
        </w:tc>
      </w:tr>
      <w:tr w:rsidR="006451CA" w14:paraId="3D41732C" w14:textId="77777777" w:rsidTr="0087167D">
        <w:tc>
          <w:tcPr>
            <w:tcW w:w="2113" w:type="dxa"/>
          </w:tcPr>
          <w:p w14:paraId="5BF113E1" w14:textId="77777777" w:rsidR="006451CA" w:rsidRPr="0087167D" w:rsidRDefault="006451CA" w:rsidP="006451CA">
            <w:pPr>
              <w:rPr>
                <w:b/>
                <w:sz w:val="20"/>
                <w:szCs w:val="20"/>
              </w:rPr>
            </w:pPr>
            <w:r w:rsidRPr="0087167D">
              <w:rPr>
                <w:b/>
                <w:sz w:val="20"/>
                <w:szCs w:val="20"/>
              </w:rPr>
              <w:t>Tűzvédelmi besorolás</w:t>
            </w:r>
            <w:r>
              <w:rPr>
                <w:b/>
                <w:sz w:val="20"/>
                <w:szCs w:val="20"/>
              </w:rPr>
              <w:t>:</w:t>
            </w:r>
          </w:p>
        </w:tc>
        <w:tc>
          <w:tcPr>
            <w:tcW w:w="5499" w:type="dxa"/>
          </w:tcPr>
          <w:p w14:paraId="4A947B0D" w14:textId="77777777" w:rsidR="006451CA" w:rsidRDefault="006451CA" w:rsidP="006451CA">
            <w:pPr>
              <w:rPr>
                <w:bCs/>
                <w:sz w:val="20"/>
                <w:szCs w:val="20"/>
              </w:rPr>
            </w:pPr>
            <w:r>
              <w:rPr>
                <w:bCs/>
                <w:sz w:val="20"/>
                <w:szCs w:val="20"/>
              </w:rPr>
              <w:t>A1.</w:t>
            </w:r>
          </w:p>
        </w:tc>
      </w:tr>
    </w:tbl>
    <w:p w14:paraId="12EC2379" w14:textId="77777777" w:rsidR="004D7353" w:rsidRPr="0023213C" w:rsidRDefault="004D7353" w:rsidP="00064836">
      <w:pPr>
        <w:spacing w:line="240" w:lineRule="auto"/>
        <w:ind w:left="2552" w:hanging="2552"/>
        <w:rPr>
          <w:bCs/>
          <w:sz w:val="20"/>
          <w:szCs w:val="20"/>
        </w:rPr>
      </w:pPr>
      <w:r w:rsidRPr="00064836">
        <w:rPr>
          <w:b/>
          <w:sz w:val="20"/>
          <w:szCs w:val="20"/>
        </w:rPr>
        <w:lastRenderedPageBreak/>
        <w:t>KISZERELÉS</w:t>
      </w:r>
      <w:r w:rsidRPr="00064836">
        <w:rPr>
          <w:b/>
          <w:sz w:val="20"/>
          <w:szCs w:val="20"/>
        </w:rPr>
        <w:tab/>
      </w:r>
      <w:r w:rsidR="00F3053A">
        <w:rPr>
          <w:bCs/>
          <w:sz w:val="20"/>
          <w:szCs w:val="20"/>
        </w:rPr>
        <w:t>25</w:t>
      </w:r>
      <w:r w:rsidR="00354DF5">
        <w:rPr>
          <w:bCs/>
          <w:sz w:val="20"/>
          <w:szCs w:val="20"/>
        </w:rPr>
        <w:t xml:space="preserve"> kg</w:t>
      </w:r>
      <w:r w:rsidR="000745CA">
        <w:rPr>
          <w:bCs/>
          <w:sz w:val="20"/>
          <w:szCs w:val="20"/>
        </w:rPr>
        <w:t xml:space="preserve">, </w:t>
      </w:r>
      <w:r w:rsidR="00276BF3">
        <w:rPr>
          <w:bCs/>
          <w:sz w:val="20"/>
          <w:szCs w:val="20"/>
        </w:rPr>
        <w:t xml:space="preserve">és 5 kg </w:t>
      </w:r>
      <w:r w:rsidR="000745CA">
        <w:rPr>
          <w:bCs/>
          <w:sz w:val="20"/>
          <w:szCs w:val="20"/>
        </w:rPr>
        <w:t>papírzsákban.</w:t>
      </w:r>
    </w:p>
    <w:p w14:paraId="08198D30" w14:textId="77777777" w:rsidR="004D7353" w:rsidRDefault="004D7353" w:rsidP="00064836">
      <w:pPr>
        <w:spacing w:line="240" w:lineRule="auto"/>
        <w:ind w:left="2552" w:hanging="2552"/>
        <w:rPr>
          <w:bCs/>
          <w:sz w:val="20"/>
          <w:szCs w:val="20"/>
        </w:rPr>
      </w:pPr>
      <w:r w:rsidRPr="00064836">
        <w:rPr>
          <w:b/>
          <w:sz w:val="20"/>
          <w:szCs w:val="20"/>
        </w:rPr>
        <w:t>TÁROLÁS / ELTARTHATÓSÁG</w:t>
      </w:r>
      <w:r>
        <w:rPr>
          <w:bCs/>
          <w:sz w:val="20"/>
          <w:szCs w:val="20"/>
        </w:rPr>
        <w:tab/>
        <w:t xml:space="preserve">Zárt fagymentes helyen, </w:t>
      </w:r>
      <w:r w:rsidR="00276BF3">
        <w:rPr>
          <w:bCs/>
          <w:sz w:val="20"/>
          <w:szCs w:val="20"/>
        </w:rPr>
        <w:t xml:space="preserve">mindennemű nedvességtől, </w:t>
      </w:r>
      <w:r>
        <w:rPr>
          <w:bCs/>
          <w:sz w:val="20"/>
          <w:szCs w:val="20"/>
        </w:rPr>
        <w:t xml:space="preserve">sugárzó hőtől, tűző naptól védve, bontatlan csomagolásban, a csomagoláson jelzett dátumtól </w:t>
      </w:r>
      <w:r w:rsidR="000745CA">
        <w:rPr>
          <w:bCs/>
          <w:sz w:val="20"/>
          <w:szCs w:val="20"/>
        </w:rPr>
        <w:t>1</w:t>
      </w:r>
      <w:r>
        <w:rPr>
          <w:bCs/>
          <w:sz w:val="20"/>
          <w:szCs w:val="20"/>
        </w:rPr>
        <w:t xml:space="preserve"> évig (+5 - +25°C között)</w:t>
      </w:r>
      <w:r w:rsidR="00354DF5">
        <w:rPr>
          <w:bCs/>
          <w:sz w:val="20"/>
          <w:szCs w:val="20"/>
        </w:rPr>
        <w:t>.</w:t>
      </w:r>
    </w:p>
    <w:sectPr w:rsidR="004D7353" w:rsidSect="005862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44119"/>
    <w:multiLevelType w:val="hybridMultilevel"/>
    <w:tmpl w:val="DBDAF010"/>
    <w:lvl w:ilvl="0" w:tplc="0C30F71E">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64876A6E"/>
    <w:multiLevelType w:val="hybridMultilevel"/>
    <w:tmpl w:val="F6F0F89E"/>
    <w:lvl w:ilvl="0" w:tplc="531A7C7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354635">
    <w:abstractNumId w:val="1"/>
  </w:num>
  <w:num w:numId="2" w16cid:durableId="1595631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DA2"/>
    <w:rsid w:val="00017660"/>
    <w:rsid w:val="000571A4"/>
    <w:rsid w:val="00057A98"/>
    <w:rsid w:val="00057A9F"/>
    <w:rsid w:val="0006107A"/>
    <w:rsid w:val="00064836"/>
    <w:rsid w:val="000745CA"/>
    <w:rsid w:val="00085BC8"/>
    <w:rsid w:val="000D4B02"/>
    <w:rsid w:val="000E4CB0"/>
    <w:rsid w:val="000F5E1F"/>
    <w:rsid w:val="00107D95"/>
    <w:rsid w:val="001302E6"/>
    <w:rsid w:val="00136600"/>
    <w:rsid w:val="00137067"/>
    <w:rsid w:val="00181BF7"/>
    <w:rsid w:val="001E454C"/>
    <w:rsid w:val="0021164E"/>
    <w:rsid w:val="00222F1A"/>
    <w:rsid w:val="0023213C"/>
    <w:rsid w:val="00276BF3"/>
    <w:rsid w:val="00283562"/>
    <w:rsid w:val="002D0FC7"/>
    <w:rsid w:val="00301A3D"/>
    <w:rsid w:val="00303E5B"/>
    <w:rsid w:val="00353847"/>
    <w:rsid w:val="00354DF5"/>
    <w:rsid w:val="00373D3A"/>
    <w:rsid w:val="00387C69"/>
    <w:rsid w:val="003A0283"/>
    <w:rsid w:val="003A1EB3"/>
    <w:rsid w:val="003B2C41"/>
    <w:rsid w:val="003F5A2E"/>
    <w:rsid w:val="00401E5E"/>
    <w:rsid w:val="004178B3"/>
    <w:rsid w:val="00421A8B"/>
    <w:rsid w:val="00443481"/>
    <w:rsid w:val="00443D9F"/>
    <w:rsid w:val="004618A6"/>
    <w:rsid w:val="00462A93"/>
    <w:rsid w:val="004B3DC1"/>
    <w:rsid w:val="004D279A"/>
    <w:rsid w:val="004D7353"/>
    <w:rsid w:val="004E1CD7"/>
    <w:rsid w:val="004E403C"/>
    <w:rsid w:val="00525ED4"/>
    <w:rsid w:val="00554E62"/>
    <w:rsid w:val="00574048"/>
    <w:rsid w:val="005862CF"/>
    <w:rsid w:val="005B5326"/>
    <w:rsid w:val="005C4000"/>
    <w:rsid w:val="005F2044"/>
    <w:rsid w:val="005F3FAF"/>
    <w:rsid w:val="006451CA"/>
    <w:rsid w:val="00673522"/>
    <w:rsid w:val="0067478F"/>
    <w:rsid w:val="006B763F"/>
    <w:rsid w:val="006C5B52"/>
    <w:rsid w:val="006F254D"/>
    <w:rsid w:val="00733C76"/>
    <w:rsid w:val="00744744"/>
    <w:rsid w:val="00747E91"/>
    <w:rsid w:val="0076535A"/>
    <w:rsid w:val="00770A40"/>
    <w:rsid w:val="00790E9B"/>
    <w:rsid w:val="007B38F6"/>
    <w:rsid w:val="007C2E13"/>
    <w:rsid w:val="007E4366"/>
    <w:rsid w:val="007E5E31"/>
    <w:rsid w:val="007F728A"/>
    <w:rsid w:val="00813F24"/>
    <w:rsid w:val="0081559A"/>
    <w:rsid w:val="008438E7"/>
    <w:rsid w:val="0087167D"/>
    <w:rsid w:val="00896E63"/>
    <w:rsid w:val="008D75E1"/>
    <w:rsid w:val="00943CBD"/>
    <w:rsid w:val="00957182"/>
    <w:rsid w:val="00994F74"/>
    <w:rsid w:val="009C56B9"/>
    <w:rsid w:val="00A00774"/>
    <w:rsid w:val="00A46A95"/>
    <w:rsid w:val="00A60DE7"/>
    <w:rsid w:val="00A701B5"/>
    <w:rsid w:val="00AD2B2D"/>
    <w:rsid w:val="00AD668C"/>
    <w:rsid w:val="00B16E1E"/>
    <w:rsid w:val="00B41C6E"/>
    <w:rsid w:val="00B728A8"/>
    <w:rsid w:val="00B766B6"/>
    <w:rsid w:val="00B83295"/>
    <w:rsid w:val="00BA0121"/>
    <w:rsid w:val="00BD3ADC"/>
    <w:rsid w:val="00BE60CC"/>
    <w:rsid w:val="00BF7DA2"/>
    <w:rsid w:val="00C147CA"/>
    <w:rsid w:val="00C339B7"/>
    <w:rsid w:val="00C373CA"/>
    <w:rsid w:val="00C41BC4"/>
    <w:rsid w:val="00C56233"/>
    <w:rsid w:val="00C714D8"/>
    <w:rsid w:val="00C74D3F"/>
    <w:rsid w:val="00C97944"/>
    <w:rsid w:val="00D0081E"/>
    <w:rsid w:val="00D16F84"/>
    <w:rsid w:val="00D17975"/>
    <w:rsid w:val="00D34819"/>
    <w:rsid w:val="00D40AE9"/>
    <w:rsid w:val="00D53C70"/>
    <w:rsid w:val="00D579C6"/>
    <w:rsid w:val="00D75BD2"/>
    <w:rsid w:val="00D82B96"/>
    <w:rsid w:val="00D8387F"/>
    <w:rsid w:val="00D86378"/>
    <w:rsid w:val="00DA759C"/>
    <w:rsid w:val="00E44AB6"/>
    <w:rsid w:val="00E926C6"/>
    <w:rsid w:val="00EE14AF"/>
    <w:rsid w:val="00F14590"/>
    <w:rsid w:val="00F2118D"/>
    <w:rsid w:val="00F3053A"/>
    <w:rsid w:val="00F54794"/>
    <w:rsid w:val="00F67AB0"/>
    <w:rsid w:val="00F7260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2E5EF"/>
  <w15:chartTrackingRefBased/>
  <w15:docId w15:val="{F260D7C2-4780-44C0-AE20-9A2D241E0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ableParagraph">
    <w:name w:val="Table Paragraph"/>
    <w:basedOn w:val="Norml"/>
    <w:uiPriority w:val="1"/>
    <w:qFormat/>
    <w:rsid w:val="00181BF7"/>
    <w:pPr>
      <w:widowControl w:val="0"/>
      <w:spacing w:after="0" w:line="240" w:lineRule="auto"/>
    </w:pPr>
    <w:rPr>
      <w:lang w:val="en-US"/>
    </w:rPr>
  </w:style>
  <w:style w:type="paragraph" w:styleId="Buborkszveg">
    <w:name w:val="Balloon Text"/>
    <w:basedOn w:val="Norml"/>
    <w:link w:val="BuborkszvegChar"/>
    <w:uiPriority w:val="99"/>
    <w:semiHidden/>
    <w:unhideWhenUsed/>
    <w:rsid w:val="00B8329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83295"/>
    <w:rPr>
      <w:rFonts w:ascii="Segoe UI" w:hAnsi="Segoe UI" w:cs="Segoe UI"/>
      <w:sz w:val="18"/>
      <w:szCs w:val="18"/>
    </w:rPr>
  </w:style>
  <w:style w:type="table" w:styleId="Rcsostblzat">
    <w:name w:val="Table Grid"/>
    <w:basedOn w:val="Normltblzat"/>
    <w:uiPriority w:val="39"/>
    <w:rsid w:val="00871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E44AB6"/>
    <w:rPr>
      <w:color w:val="0563C1" w:themeColor="hyperlink"/>
      <w:u w:val="single"/>
    </w:rPr>
  </w:style>
  <w:style w:type="character" w:styleId="Feloldatlanmegemlts">
    <w:name w:val="Unresolved Mention"/>
    <w:basedOn w:val="Bekezdsalapbettpusa"/>
    <w:uiPriority w:val="99"/>
    <w:semiHidden/>
    <w:unhideWhenUsed/>
    <w:rsid w:val="00E44AB6"/>
    <w:rPr>
      <w:color w:val="605E5C"/>
      <w:shd w:val="clear" w:color="auto" w:fill="E1DFDD"/>
    </w:rPr>
  </w:style>
  <w:style w:type="paragraph" w:styleId="Listaszerbekezds">
    <w:name w:val="List Paragraph"/>
    <w:basedOn w:val="Norml"/>
    <w:uiPriority w:val="34"/>
    <w:qFormat/>
    <w:rsid w:val="00057A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ingstone.h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9FBC9-823F-4F83-901C-BB969930F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510</Words>
  <Characters>3520</Characters>
  <Application>Microsoft Office Word</Application>
  <DocSecurity>0</DocSecurity>
  <Lines>29</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lgyorgy</dc:creator>
  <cp:keywords/>
  <dc:description/>
  <cp:lastModifiedBy>Richárd J. Kovács</cp:lastModifiedBy>
  <cp:revision>11</cp:revision>
  <cp:lastPrinted>2017-02-20T07:48:00Z</cp:lastPrinted>
  <dcterms:created xsi:type="dcterms:W3CDTF">2021-02-26T12:41:00Z</dcterms:created>
  <dcterms:modified xsi:type="dcterms:W3CDTF">2022-08-26T06:36:00Z</dcterms:modified>
</cp:coreProperties>
</file>